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7BD" w14:textId="77777777" w:rsidR="00F5056A" w:rsidRDefault="003345E2" w:rsidP="00F5056A">
      <w:pPr>
        <w:rPr>
          <w:b/>
          <w:u w:val="single"/>
        </w:rPr>
      </w:pPr>
      <w:r>
        <w:rPr>
          <w:b/>
          <w:u w:val="single"/>
        </w:rPr>
        <w:t xml:space="preserve">Post-Employment Notice Pay (PENP): Guidance and Formula Sheet </w:t>
      </w:r>
    </w:p>
    <w:p w14:paraId="7EA6D5CF" w14:textId="77777777" w:rsidR="00C35D64" w:rsidRDefault="00C35D64" w:rsidP="00F5056A">
      <w:pPr>
        <w:rPr>
          <w:b/>
          <w:u w:val="single"/>
        </w:rPr>
      </w:pPr>
    </w:p>
    <w:p w14:paraId="61655278" w14:textId="77777777" w:rsidR="00C35D64" w:rsidRDefault="00C35D64" w:rsidP="00F5056A">
      <w:r w:rsidRPr="00EB05CC">
        <w:t xml:space="preserve">The taxation of payments made on termination of employment is complex. </w:t>
      </w:r>
      <w:r w:rsidR="00003775">
        <w:t xml:space="preserve">Any termination </w:t>
      </w:r>
      <w:r w:rsidR="0012748D">
        <w:t xml:space="preserve">payment </w:t>
      </w:r>
      <w:r w:rsidR="00003775">
        <w:t xml:space="preserve">made (for example, by way of a settlement agreement) must be broken down into various components, so it is easy to identify which parts of the payment should be subject to tax/NICs, and which can be paid tax free. The elements of a termination payment can be very broadly broken down as follows: </w:t>
      </w:r>
    </w:p>
    <w:p w14:paraId="0719B192" w14:textId="77777777" w:rsidR="00003775" w:rsidRDefault="00003775" w:rsidP="00EB05CC">
      <w:pPr>
        <w:pStyle w:val="BodyText1"/>
        <w:ind w:left="0"/>
        <w:rPr>
          <w:rFonts w:ascii="Lucida Sans Unicode" w:hAnsi="Lucida Sans Unicode" w:cs="Lucida Sans Unicode"/>
          <w:szCs w:val="18"/>
        </w:rPr>
      </w:pPr>
      <w:r w:rsidRPr="005E0315">
        <w:rPr>
          <w:rFonts w:ascii="Lucida Sans Unicode" w:hAnsi="Lucida Sans Unicode" w:cs="Lucida Sans Unicode"/>
          <w:szCs w:val="18"/>
        </w:rPr>
        <w:t xml:space="preserve">The first element is known as “post-employment notice pay” (PENP). This represents basic pay </w:t>
      </w:r>
      <w:r>
        <w:rPr>
          <w:rFonts w:ascii="Lucida Sans Unicode" w:hAnsi="Lucida Sans Unicode" w:cs="Lucida Sans Unicode"/>
          <w:szCs w:val="18"/>
        </w:rPr>
        <w:t xml:space="preserve">for any </w:t>
      </w:r>
      <w:r w:rsidRPr="00EB05CC">
        <w:rPr>
          <w:rFonts w:ascii="Lucida Sans Unicode" w:hAnsi="Lucida Sans Unicode" w:cs="Lucida Sans Unicode"/>
          <w:b/>
          <w:szCs w:val="18"/>
        </w:rPr>
        <w:t xml:space="preserve">unworked </w:t>
      </w:r>
      <w:r>
        <w:rPr>
          <w:rFonts w:ascii="Lucida Sans Unicode" w:hAnsi="Lucida Sans Unicode" w:cs="Lucida Sans Unicode"/>
          <w:szCs w:val="18"/>
        </w:rPr>
        <w:t xml:space="preserve">portion of the employee’s contractual notice period. </w:t>
      </w:r>
      <w:r w:rsidRPr="005E0315">
        <w:rPr>
          <w:rFonts w:ascii="Lucida Sans Unicode" w:hAnsi="Lucida Sans Unicode" w:cs="Lucida Sans Unicode"/>
          <w:szCs w:val="18"/>
        </w:rPr>
        <w:t>This element will be subject to inco</w:t>
      </w:r>
      <w:r w:rsidR="0012748D">
        <w:rPr>
          <w:rFonts w:ascii="Lucida Sans Unicode" w:hAnsi="Lucida Sans Unicode" w:cs="Lucida Sans Unicode"/>
          <w:szCs w:val="18"/>
        </w:rPr>
        <w:t>me tax and both employer and employee</w:t>
      </w:r>
      <w:r w:rsidRPr="005E0315">
        <w:rPr>
          <w:rFonts w:ascii="Lucida Sans Unicode" w:hAnsi="Lucida Sans Unicode" w:cs="Lucida Sans Unicode"/>
          <w:szCs w:val="18"/>
        </w:rPr>
        <w:t xml:space="preserve"> NICs. The legislation sets out a complex statutory formula to calculate</w:t>
      </w:r>
      <w:r>
        <w:rPr>
          <w:rFonts w:ascii="Lucida Sans Unicode" w:hAnsi="Lucida Sans Unicode" w:cs="Lucida Sans Unicode"/>
          <w:szCs w:val="18"/>
        </w:rPr>
        <w:t xml:space="preserve"> PENP, which is explained below.</w:t>
      </w:r>
      <w:r w:rsidR="00EB05CC">
        <w:rPr>
          <w:rFonts w:ascii="Lucida Sans Unicode" w:hAnsi="Lucida Sans Unicode" w:cs="Lucida Sans Unicode"/>
          <w:szCs w:val="18"/>
        </w:rPr>
        <w:t xml:space="preserve"> </w:t>
      </w:r>
    </w:p>
    <w:p w14:paraId="7FBDD7B2" w14:textId="77777777" w:rsidR="00EB05CC" w:rsidRDefault="00EB05CC" w:rsidP="00EB05CC">
      <w:pPr>
        <w:pStyle w:val="BodyText1"/>
        <w:ind w:left="0"/>
        <w:rPr>
          <w:rFonts w:ascii="Lucida Sans Unicode" w:hAnsi="Lucida Sans Unicode" w:cs="Lucida Sans Unicode"/>
          <w:szCs w:val="18"/>
        </w:rPr>
      </w:pPr>
      <w:r>
        <w:rPr>
          <w:rFonts w:ascii="Lucida Sans Unicode" w:hAnsi="Lucida Sans Unicode" w:cs="Lucida Sans Unicode"/>
          <w:szCs w:val="18"/>
        </w:rPr>
        <w:t xml:space="preserve">Some other payments made on termination, such as </w:t>
      </w:r>
      <w:r w:rsidR="00D14E75">
        <w:rPr>
          <w:rFonts w:ascii="Lucida Sans Unicode" w:hAnsi="Lucida Sans Unicode" w:cs="Lucida Sans Unicode"/>
          <w:szCs w:val="18"/>
        </w:rPr>
        <w:t xml:space="preserve">contractual pay in lieu of notice (PILON), </w:t>
      </w:r>
      <w:r>
        <w:rPr>
          <w:rFonts w:ascii="Lucida Sans Unicode" w:hAnsi="Lucida Sans Unicode" w:cs="Lucida Sans Unicode"/>
          <w:szCs w:val="18"/>
        </w:rPr>
        <w:t>contractual bonus payments</w:t>
      </w:r>
      <w:r w:rsidR="00D14E75">
        <w:rPr>
          <w:rFonts w:ascii="Lucida Sans Unicode" w:hAnsi="Lucida Sans Unicode" w:cs="Lucida Sans Unicode"/>
          <w:szCs w:val="18"/>
        </w:rPr>
        <w:t>,</w:t>
      </w:r>
      <w:r>
        <w:rPr>
          <w:rFonts w:ascii="Lucida Sans Unicode" w:hAnsi="Lucida Sans Unicode" w:cs="Lucida Sans Unicode"/>
          <w:szCs w:val="18"/>
        </w:rPr>
        <w:t xml:space="preserve"> or payment for accrued holiday, will also be subject to income tax and both employer and employee NICs.</w:t>
      </w:r>
    </w:p>
    <w:p w14:paraId="3108C791" w14:textId="77777777" w:rsidR="00003775" w:rsidRDefault="00003775" w:rsidP="00EB05CC">
      <w:pPr>
        <w:pStyle w:val="BodyText1"/>
        <w:ind w:left="0"/>
        <w:rPr>
          <w:rFonts w:ascii="Lucida Sans Unicode" w:hAnsi="Lucida Sans Unicode" w:cs="Lucida Sans Unicode"/>
          <w:szCs w:val="18"/>
        </w:rPr>
      </w:pPr>
      <w:r w:rsidRPr="005E0315">
        <w:rPr>
          <w:rFonts w:ascii="Lucida Sans Unicode" w:hAnsi="Lucida Sans Unicode" w:cs="Lucida Sans Unicode"/>
          <w:szCs w:val="18"/>
        </w:rPr>
        <w:t>The second element is the remaining balance of the termination payment. The ba</w:t>
      </w:r>
      <w:r w:rsidR="0012748D">
        <w:rPr>
          <w:rFonts w:ascii="Lucida Sans Unicode" w:hAnsi="Lucida Sans Unicode" w:cs="Lucida Sans Unicode"/>
          <w:szCs w:val="18"/>
        </w:rPr>
        <w:t>lance of the payment is payable free of income tax and NICs</w:t>
      </w:r>
      <w:r w:rsidR="00C01B0C">
        <w:rPr>
          <w:rFonts w:ascii="Lucida Sans Unicode" w:hAnsi="Lucida Sans Unicode" w:cs="Lucida Sans Unicode"/>
          <w:szCs w:val="18"/>
        </w:rPr>
        <w:t xml:space="preserve"> up to £30,000, </w:t>
      </w:r>
      <w:r w:rsidRPr="005E0315">
        <w:rPr>
          <w:rFonts w:ascii="Lucida Sans Unicode" w:hAnsi="Lucida Sans Unicode" w:cs="Lucida Sans Unicode"/>
          <w:szCs w:val="18"/>
        </w:rPr>
        <w:t>provided that it repr</w:t>
      </w:r>
      <w:r w:rsidR="00C01B0C">
        <w:rPr>
          <w:rFonts w:ascii="Lucida Sans Unicode" w:hAnsi="Lucida Sans Unicode" w:cs="Lucida Sans Unicode"/>
          <w:szCs w:val="18"/>
        </w:rPr>
        <w:t>esents income from employment (</w:t>
      </w:r>
      <w:r w:rsidR="00C01B0C" w:rsidRPr="00C01B0C">
        <w:rPr>
          <w:b/>
        </w:rPr>
        <w:t>s403 ITEPA</w:t>
      </w:r>
      <w:r w:rsidR="00C01B0C">
        <w:t>).</w:t>
      </w:r>
    </w:p>
    <w:p w14:paraId="38DCE1EA" w14:textId="77777777" w:rsidR="003345E2" w:rsidRDefault="00003775" w:rsidP="00EB05CC">
      <w:pPr>
        <w:pStyle w:val="BodyText1"/>
        <w:ind w:left="0"/>
        <w:rPr>
          <w:b/>
          <w:u w:val="single"/>
        </w:rPr>
      </w:pPr>
      <w:r>
        <w:rPr>
          <w:rFonts w:ascii="Lucida Sans Unicode" w:hAnsi="Lucida Sans Unicode" w:cs="Lucida Sans Unicode"/>
          <w:szCs w:val="18"/>
        </w:rPr>
        <w:t>The third element is any</w:t>
      </w:r>
      <w:r w:rsidRPr="005E0315">
        <w:rPr>
          <w:rFonts w:ascii="Lucida Sans Unicode" w:hAnsi="Lucida Sans Unicode" w:cs="Lucida Sans Unicode"/>
          <w:szCs w:val="18"/>
        </w:rPr>
        <w:t xml:space="preserve"> excess over £30,000</w:t>
      </w:r>
      <w:r>
        <w:rPr>
          <w:rFonts w:ascii="Lucida Sans Unicode" w:hAnsi="Lucida Sans Unicode" w:cs="Lucida Sans Unicode"/>
          <w:szCs w:val="18"/>
        </w:rPr>
        <w:t>, which</w:t>
      </w:r>
      <w:r w:rsidRPr="005E0315">
        <w:rPr>
          <w:rFonts w:ascii="Lucida Sans Unicode" w:hAnsi="Lucida Sans Unicode" w:cs="Lucida Sans Unicode"/>
          <w:szCs w:val="18"/>
        </w:rPr>
        <w:t xml:space="preserve"> will be subject to </w:t>
      </w:r>
      <w:r w:rsidR="0012748D">
        <w:rPr>
          <w:rFonts w:ascii="Lucida Sans Unicode" w:hAnsi="Lucida Sans Unicode" w:cs="Lucida Sans Unicode"/>
          <w:szCs w:val="18"/>
        </w:rPr>
        <w:t xml:space="preserve">income </w:t>
      </w:r>
      <w:r w:rsidRPr="005E0315">
        <w:rPr>
          <w:rFonts w:ascii="Lucida Sans Unicode" w:hAnsi="Lucida Sans Unicode" w:cs="Lucida Sans Unicode"/>
          <w:szCs w:val="18"/>
        </w:rPr>
        <w:t xml:space="preserve">tax. </w:t>
      </w:r>
      <w:r w:rsidRPr="005E0315">
        <w:t xml:space="preserve">Previously, any excess over £30,000 was free from NICs. However, from </w:t>
      </w:r>
      <w:r w:rsidRPr="005E0315">
        <w:rPr>
          <w:b/>
        </w:rPr>
        <w:t>6 April 2019</w:t>
      </w:r>
      <w:r w:rsidR="00AE5F93">
        <w:t xml:space="preserve"> Class 1A (employer) NICs beca</w:t>
      </w:r>
      <w:r w:rsidRPr="005E0315">
        <w:t xml:space="preserve">me payable on this element of any payment. This element of the payment will remain free of Class 1 (employee) NICs. </w:t>
      </w:r>
    </w:p>
    <w:p w14:paraId="0CD3987D" w14:textId="77777777" w:rsidR="00F5056A" w:rsidRPr="00F5056A" w:rsidRDefault="00EB4768" w:rsidP="00F5056A">
      <w:pPr>
        <w:rPr>
          <w:b/>
          <w:u w:val="single"/>
        </w:rPr>
      </w:pPr>
      <w:r>
        <w:rPr>
          <w:b/>
          <w:u w:val="single"/>
        </w:rPr>
        <w:t>When must a PENP c</w:t>
      </w:r>
      <w:r w:rsidR="00F5056A" w:rsidRPr="00F5056A">
        <w:rPr>
          <w:b/>
          <w:u w:val="single"/>
        </w:rPr>
        <w:t>alculation be completed?</w:t>
      </w:r>
    </w:p>
    <w:p w14:paraId="2C8DBC04" w14:textId="77777777" w:rsidR="00F5056A" w:rsidRDefault="00F5056A" w:rsidP="00F5056A"/>
    <w:p w14:paraId="5472BFAA" w14:textId="77777777" w:rsidR="00F5056A" w:rsidRPr="00F5056A" w:rsidRDefault="00F5056A" w:rsidP="00F5056A">
      <w:r>
        <w:t>Y</w:t>
      </w:r>
      <w:r w:rsidRPr="00F5056A">
        <w:t xml:space="preserve">ou must conduct the PENP calculation whenever you are proposing to make a payment in connection with the termination of an employee's employment, </w:t>
      </w:r>
      <w:r w:rsidRPr="00D14E75">
        <w:rPr>
          <w:b/>
        </w:rPr>
        <w:t xml:space="preserve">unless </w:t>
      </w:r>
      <w:r w:rsidRPr="00F5056A">
        <w:t xml:space="preserve">the employee is working out their notice period in full, or the </w:t>
      </w:r>
      <w:r w:rsidRPr="00EB05CC">
        <w:rPr>
          <w:b/>
        </w:rPr>
        <w:t xml:space="preserve">only </w:t>
      </w:r>
      <w:r w:rsidRPr="00F5056A">
        <w:t xml:space="preserve">sum they are receiving is statutory redundancy pay. </w:t>
      </w:r>
      <w:r w:rsidR="000B4390">
        <w:t xml:space="preserve">A statutory redundancy payment is not a ‘relevant termination award’ for the purposes of the PENP legislation, so can be paid tax free in full. No PENP calculation is required. </w:t>
      </w:r>
    </w:p>
    <w:p w14:paraId="512FD145" w14:textId="77777777" w:rsidR="00F5056A" w:rsidRPr="00F5056A" w:rsidRDefault="00F5056A" w:rsidP="00F5056A"/>
    <w:p w14:paraId="327C2F37" w14:textId="7CED8B79" w:rsidR="00F5056A" w:rsidRDefault="00F5056A" w:rsidP="00F5056A">
      <w:r w:rsidRPr="00F5056A">
        <w:t xml:space="preserve">The most common scenario in which PENP applies is where you are dismissing an employee without requiring them to work out their notice, and you are offering a termination payment of some kind via a settlement agreement, but it </w:t>
      </w:r>
      <w:r w:rsidR="00E421A1" w:rsidRPr="005051A5">
        <w:rPr>
          <w:b/>
          <w:bCs/>
        </w:rPr>
        <w:t>may</w:t>
      </w:r>
      <w:r w:rsidR="00E421A1">
        <w:t xml:space="preserve"> </w:t>
      </w:r>
      <w:r w:rsidRPr="00F5056A">
        <w:t xml:space="preserve">also include cases where: </w:t>
      </w:r>
    </w:p>
    <w:p w14:paraId="612C2114" w14:textId="77777777" w:rsidR="00EC5A05" w:rsidRPr="00F5056A" w:rsidRDefault="00EC5A05" w:rsidP="00F5056A"/>
    <w:p w14:paraId="74FDDCC5" w14:textId="77777777" w:rsidR="00F5056A" w:rsidRPr="00F5056A" w:rsidRDefault="00F5056A" w:rsidP="00F5056A">
      <w:r w:rsidRPr="00F5056A">
        <w:t>- you summarily dismiss an employee for gross misconduct and subsequently make a payment to settle their ET claim (whether using a settlement agreement or a COT3)</w:t>
      </w:r>
    </w:p>
    <w:p w14:paraId="4A0B6FF8" w14:textId="77777777" w:rsidR="00F5056A" w:rsidRDefault="00F5056A" w:rsidP="00F5056A">
      <w:r w:rsidRPr="00F5056A">
        <w:t>- the employee resigns without working their full notice and you subsequently make a payment to settle their ET claim (whether using a settlement agreement or a COT3)</w:t>
      </w:r>
    </w:p>
    <w:p w14:paraId="33D3676B" w14:textId="77777777" w:rsidR="00EC5A05" w:rsidRPr="00F5056A" w:rsidRDefault="00EC5A05" w:rsidP="00F5056A"/>
    <w:p w14:paraId="598EECE7" w14:textId="77777777" w:rsidR="005051A5" w:rsidRDefault="005051A5" w:rsidP="00F5056A">
      <w:r>
        <w:t xml:space="preserve">According to updated HMRC guidance, in cases of gross misconduct where employee has been </w:t>
      </w:r>
      <w:r w:rsidRPr="0027603D">
        <w:rPr>
          <w:b/>
          <w:bCs/>
        </w:rPr>
        <w:t xml:space="preserve">summarily dismissed </w:t>
      </w:r>
      <w:r>
        <w:t xml:space="preserve">you do </w:t>
      </w:r>
      <w:r w:rsidRPr="0027603D">
        <w:rPr>
          <w:b/>
          <w:bCs/>
        </w:rPr>
        <w:t>not</w:t>
      </w:r>
      <w:r>
        <w:t xml:space="preserve"> generally need to carry out PENP calculation.  However, if the </w:t>
      </w:r>
      <w:r>
        <w:lastRenderedPageBreak/>
        <w:t xml:space="preserve">summary dismissal has been overturned (for example by an ET) or where the settlement agreement/COT3 states that the employee will be treated as a ‘good leaver’, a PENP calculation must be completed. </w:t>
      </w:r>
    </w:p>
    <w:p w14:paraId="71CA3C88" w14:textId="77777777" w:rsidR="005051A5" w:rsidRDefault="005051A5" w:rsidP="00F5056A"/>
    <w:p w14:paraId="5033440B" w14:textId="5B233C39" w:rsidR="00F5056A" w:rsidRPr="00F5056A" w:rsidRDefault="00F5056A" w:rsidP="00F5056A">
      <w:r w:rsidRPr="00F5056A">
        <w:t>In such cases, the period of notice on which the PENP calculation must be based is the notice you would have had to give had you terminated the employee's employment by serving notice in accordance with their contract (or the statutory minimum notice, if longer).</w:t>
      </w:r>
    </w:p>
    <w:p w14:paraId="59C64179" w14:textId="77777777" w:rsidR="00F5056A" w:rsidRPr="00F5056A" w:rsidRDefault="00F5056A" w:rsidP="00F5056A"/>
    <w:p w14:paraId="25CA92E1" w14:textId="77777777" w:rsidR="00F5056A" w:rsidRDefault="00F5056A" w:rsidP="00F5056A">
      <w:r w:rsidRPr="00F5056A">
        <w:t xml:space="preserve">Note that the relevant notice for the purposes of PENP is the notice that the </w:t>
      </w:r>
      <w:r w:rsidRPr="008062F0">
        <w:rPr>
          <w:b/>
        </w:rPr>
        <w:t xml:space="preserve">employer </w:t>
      </w:r>
      <w:r w:rsidRPr="00F5056A">
        <w:t xml:space="preserve">must give under the employee's contract (or the statutory minimum, if longer), which may be different from the period of notice that the employee must give. </w:t>
      </w:r>
    </w:p>
    <w:p w14:paraId="677185FF" w14:textId="77777777" w:rsidR="00EC5A05" w:rsidRPr="00F5056A" w:rsidRDefault="00EC5A05" w:rsidP="00F5056A"/>
    <w:p w14:paraId="092E73B0" w14:textId="77777777" w:rsidR="00F5056A" w:rsidRPr="00F5056A" w:rsidRDefault="00F5056A" w:rsidP="00F5056A">
      <w:r w:rsidRPr="00F5056A">
        <w:t>This means that PENP also applies where you make a termination payment to an employee who resigns and works out the notice that they were required to give under their contract, but the notice that you would have had to give if you had dismis</w:t>
      </w:r>
      <w:r w:rsidR="008062F0">
        <w:t>sed them (</w:t>
      </w:r>
      <w:r w:rsidRPr="00F5056A">
        <w:t>under the contract, or the statutory minimum notice, if longer) is longer than the notice that they were required to give.</w:t>
      </w:r>
    </w:p>
    <w:p w14:paraId="5618D791" w14:textId="77777777" w:rsidR="00F5056A" w:rsidRDefault="00F5056A" w:rsidP="00AE3FF3">
      <w:pPr>
        <w:rPr>
          <w:b/>
          <w:u w:val="single"/>
        </w:rPr>
      </w:pPr>
    </w:p>
    <w:p w14:paraId="1212AB19" w14:textId="77777777" w:rsidR="00AE3FF3" w:rsidRPr="00AE3FF3" w:rsidRDefault="00AE3FF3" w:rsidP="00AE3FF3">
      <w:pPr>
        <w:rPr>
          <w:b/>
          <w:u w:val="single"/>
        </w:rPr>
      </w:pPr>
      <w:r w:rsidRPr="00AE3FF3">
        <w:rPr>
          <w:b/>
          <w:u w:val="single"/>
        </w:rPr>
        <w:t>Post-Employment Notice Pay – Calculations</w:t>
      </w:r>
    </w:p>
    <w:p w14:paraId="713A9441" w14:textId="77777777" w:rsidR="00AE3FF3" w:rsidRPr="00AE3FF3" w:rsidRDefault="00AE3FF3" w:rsidP="00AE3FF3">
      <w:pPr>
        <w:rPr>
          <w:b/>
        </w:rPr>
      </w:pPr>
    </w:p>
    <w:p w14:paraId="6F5667F6" w14:textId="77777777" w:rsidR="00AE3FF3" w:rsidRPr="00AE3FF3" w:rsidRDefault="00AE3FF3" w:rsidP="00AE3FF3">
      <w:r w:rsidRPr="00AE3FF3">
        <w:t xml:space="preserve">There are two formulas used for calculating PENP, the simplified formula and the </w:t>
      </w:r>
      <w:r w:rsidR="000C7FEE">
        <w:t xml:space="preserve">standard </w:t>
      </w:r>
      <w:r w:rsidRPr="00AE3FF3">
        <w:t>formula</w:t>
      </w:r>
      <w:r w:rsidR="009F7D35">
        <w:t>.</w:t>
      </w:r>
      <w:r w:rsidRPr="00AE3FF3">
        <w:t xml:space="preserve"> </w:t>
      </w:r>
      <w:r w:rsidR="007E5C2C">
        <w:t>T</w:t>
      </w:r>
      <w:r w:rsidR="009F7D35">
        <w:t xml:space="preserve">he formula used is </w:t>
      </w:r>
      <w:r w:rsidRPr="00AE3FF3">
        <w:t>dependent upon how the employee is paid</w:t>
      </w:r>
      <w:r w:rsidR="000C7FEE">
        <w:t>, and how much of the employee’s notice period remains unworked</w:t>
      </w:r>
    </w:p>
    <w:p w14:paraId="60DF4D5D" w14:textId="77777777" w:rsidR="00AE3FF3" w:rsidRPr="00AE3FF3" w:rsidRDefault="00AE3FF3" w:rsidP="00AE3FF3">
      <w:pPr>
        <w:rPr>
          <w:b/>
          <w:bCs/>
          <w:u w:val="single"/>
        </w:rPr>
      </w:pPr>
    </w:p>
    <w:p w14:paraId="71A7D282" w14:textId="77777777" w:rsidR="00AE3FF3" w:rsidRPr="00AE3FF3" w:rsidRDefault="00AE3FF3" w:rsidP="00AE3FF3">
      <w:pPr>
        <w:rPr>
          <w:b/>
          <w:bCs/>
          <w:u w:val="single"/>
        </w:rPr>
      </w:pPr>
      <w:r w:rsidRPr="00AE3FF3">
        <w:rPr>
          <w:b/>
          <w:bCs/>
          <w:u w:val="single"/>
        </w:rPr>
        <w:t>Simplified formula</w:t>
      </w:r>
    </w:p>
    <w:p w14:paraId="4E43AA61" w14:textId="77777777" w:rsidR="00AE3FF3" w:rsidRPr="00AE3FF3" w:rsidRDefault="00AE3FF3" w:rsidP="00AE3FF3">
      <w:pPr>
        <w:rPr>
          <w:b/>
          <w:bCs/>
          <w:u w:val="single"/>
        </w:rPr>
      </w:pPr>
    </w:p>
    <w:p w14:paraId="14EC2D79" w14:textId="77777777" w:rsidR="00AE3FF3" w:rsidRDefault="00AE3FF3" w:rsidP="00AE3FF3">
      <w:r w:rsidRPr="00AE3FF3">
        <w:t>The simplified formula is used in the following circumstances, when an employee:</w:t>
      </w:r>
    </w:p>
    <w:p w14:paraId="43993374" w14:textId="77777777" w:rsidR="00EC5A05" w:rsidRPr="00AE3FF3" w:rsidRDefault="00EC5A05" w:rsidP="00AE3FF3"/>
    <w:p w14:paraId="6757C154" w14:textId="77777777" w:rsidR="00AE3FF3" w:rsidRPr="00AE3FF3" w:rsidRDefault="00AE3FF3" w:rsidP="00AE3FF3">
      <w:pPr>
        <w:numPr>
          <w:ilvl w:val="0"/>
          <w:numId w:val="29"/>
        </w:numPr>
      </w:pPr>
      <w:r w:rsidRPr="00AE3FF3">
        <w:t>is paid a monthly salary;</w:t>
      </w:r>
    </w:p>
    <w:p w14:paraId="2CA0ABB4" w14:textId="77777777" w:rsidR="00AE3FF3" w:rsidRPr="00AE3FF3" w:rsidRDefault="00AE3FF3" w:rsidP="00AE3FF3">
      <w:pPr>
        <w:numPr>
          <w:ilvl w:val="0"/>
          <w:numId w:val="29"/>
        </w:numPr>
      </w:pPr>
      <w:r w:rsidRPr="00AE3FF3">
        <w:t xml:space="preserve">has a contractual notice period which is expressed in months; and </w:t>
      </w:r>
    </w:p>
    <w:p w14:paraId="2AE7D95B" w14:textId="77777777" w:rsidR="00AE3FF3" w:rsidRPr="00AE3FF3" w:rsidRDefault="00AE3FF3" w:rsidP="00AE3FF3">
      <w:pPr>
        <w:numPr>
          <w:ilvl w:val="0"/>
          <w:numId w:val="29"/>
        </w:numPr>
      </w:pPr>
      <w:r w:rsidRPr="00AE3FF3">
        <w:t>whose employment is terminated with immediate effect or whose unworked period of notice equates to a whole number of months (as opposed to days or weeks).</w:t>
      </w:r>
    </w:p>
    <w:p w14:paraId="1B8A3E0B" w14:textId="77777777" w:rsidR="00AE3FF3" w:rsidRPr="00AE3FF3" w:rsidRDefault="00AE3FF3" w:rsidP="00AE3FF3"/>
    <w:p w14:paraId="217AF880" w14:textId="77777777" w:rsidR="00AE3FF3" w:rsidRPr="00AE3FF3" w:rsidRDefault="00AE3FF3" w:rsidP="00AE3FF3">
      <w:pPr>
        <w:rPr>
          <w:b/>
          <w:bCs/>
        </w:rPr>
      </w:pPr>
      <w:r w:rsidRPr="00EB05CC">
        <w:rPr>
          <w:b/>
          <w:bCs/>
          <w:highlight w:val="yellow"/>
        </w:rPr>
        <w:t>The formula is BP x D – T</w:t>
      </w:r>
    </w:p>
    <w:p w14:paraId="059C0B70" w14:textId="77777777" w:rsidR="00AE3FF3" w:rsidRPr="00AE3FF3" w:rsidRDefault="00AE3FF3" w:rsidP="00AE3FF3">
      <w:pPr>
        <w:rPr>
          <w:b/>
          <w:bCs/>
        </w:rPr>
      </w:pPr>
    </w:p>
    <w:p w14:paraId="4E6F7F5C" w14:textId="77777777" w:rsidR="0095186E" w:rsidRDefault="00AE3FF3" w:rsidP="00AE3FF3">
      <w:r w:rsidRPr="004C7A2C">
        <w:rPr>
          <w:b/>
        </w:rPr>
        <w:t>BP</w:t>
      </w:r>
      <w:r w:rsidRPr="00AE3FF3">
        <w:t xml:space="preserve"> – basic pay fo</w:t>
      </w:r>
      <w:r>
        <w:t>r the last pay period.</w:t>
      </w:r>
      <w:r w:rsidR="00EC5A05">
        <w:t xml:space="preserve"> For example, i</w:t>
      </w:r>
      <w:r>
        <w:t xml:space="preserve">f the employee </w:t>
      </w:r>
      <w:r w:rsidRPr="00AE3FF3">
        <w:t>is paid on the 25th day of every month and that payment represents payment for the period 1st of the month to the last day of the month, the pay period is a calendar month.</w:t>
      </w:r>
      <w:r w:rsidR="004C7A2C">
        <w:t xml:space="preserve"> </w:t>
      </w:r>
    </w:p>
    <w:p w14:paraId="2675C4B0" w14:textId="77777777" w:rsidR="0095186E" w:rsidRDefault="0095186E" w:rsidP="00AE3FF3"/>
    <w:p w14:paraId="0F076CBB" w14:textId="77777777" w:rsidR="00AC03F7" w:rsidRDefault="004C7A2C" w:rsidP="00AC03F7">
      <w:r>
        <w:t xml:space="preserve">Basic pay </w:t>
      </w:r>
      <w:r w:rsidRPr="00EB05CC">
        <w:rPr>
          <w:b/>
        </w:rPr>
        <w:t>includes</w:t>
      </w:r>
      <w:r>
        <w:t xml:space="preserve"> the value of salary sacrifice </w:t>
      </w:r>
      <w:r w:rsidR="00E571CF">
        <w:t xml:space="preserve">(e.g. if an employee makes a pension contribution or purchases childcare vouchers via salary sacrifice. However, you should </w:t>
      </w:r>
      <w:r w:rsidR="00E571CF" w:rsidRPr="00EB05CC">
        <w:rPr>
          <w:b/>
        </w:rPr>
        <w:t>exclude</w:t>
      </w:r>
      <w:r w:rsidR="00E571CF">
        <w:t xml:space="preserve"> any bonus, allowances, commission, share awards etc.</w:t>
      </w:r>
      <w:r w:rsidR="0095186E">
        <w:t xml:space="preserve"> Note that you should use the </w:t>
      </w:r>
      <w:r w:rsidR="0095186E" w:rsidRPr="00EB05CC">
        <w:rPr>
          <w:b/>
        </w:rPr>
        <w:t>actual basic pay</w:t>
      </w:r>
      <w:r w:rsidR="0095186E">
        <w:t xml:space="preserve"> received in the relevant pay period, even if it is lower than usual (e.g. because the employee was absent on unpaid leave for part of that period).</w:t>
      </w:r>
      <w:r w:rsidR="00AC03F7">
        <w:t xml:space="preserve"> </w:t>
      </w:r>
    </w:p>
    <w:p w14:paraId="2AE2FEC7" w14:textId="77777777" w:rsidR="00AC03F7" w:rsidRDefault="00AC03F7" w:rsidP="00AC03F7"/>
    <w:p w14:paraId="6154DEA6" w14:textId="77777777" w:rsidR="00AC03F7" w:rsidRDefault="00AC03F7" w:rsidP="00AC03F7">
      <w:r>
        <w:lastRenderedPageBreak/>
        <w:t xml:space="preserve">Note that ‘basic pay’ for the purposes of the PENP calculation is greater than ‘basic pay’ for the purposes of working an employee’s contractual PILON payment, as the former </w:t>
      </w:r>
      <w:r w:rsidRPr="00A60510">
        <w:rPr>
          <w:b/>
        </w:rPr>
        <w:t>includes sacrificed salary</w:t>
      </w:r>
      <w:r>
        <w:t xml:space="preserve"> and the latter </w:t>
      </w:r>
      <w:r w:rsidRPr="000E598A">
        <w:rPr>
          <w:b/>
        </w:rPr>
        <w:t>excludes sacrificed salary.</w:t>
      </w:r>
      <w:r>
        <w:t xml:space="preserve"> For this reason, it is important to carry out a PENP calculation even if the employee has received a PILON in respect of their whole notice period. It is not safe to assume that a PILON for the employee’s whole notice period will</w:t>
      </w:r>
      <w:r w:rsidRPr="00EB05CC">
        <w:rPr>
          <w:b/>
        </w:rPr>
        <w:t xml:space="preserve"> always</w:t>
      </w:r>
      <w:r>
        <w:t xml:space="preserve"> ‘cancel out' PENP liability (although this will often be the case). </w:t>
      </w:r>
      <w:r w:rsidR="003345E2">
        <w:t xml:space="preserve">See Example 4 below for an illustration of how this works in practice. </w:t>
      </w:r>
    </w:p>
    <w:p w14:paraId="0FEE75A7" w14:textId="77777777" w:rsidR="0095186E" w:rsidRPr="00AE3FF3" w:rsidRDefault="0095186E" w:rsidP="00AE3FF3"/>
    <w:p w14:paraId="4A2437FF" w14:textId="77777777" w:rsidR="00AE3FF3" w:rsidRDefault="00AE3FF3" w:rsidP="00AE3FF3">
      <w:r w:rsidRPr="004C7A2C">
        <w:rPr>
          <w:b/>
        </w:rPr>
        <w:t>D</w:t>
      </w:r>
      <w:r w:rsidRPr="00AE3FF3">
        <w:t xml:space="preserve"> – the number of months</w:t>
      </w:r>
      <w:r>
        <w:t xml:space="preserve"> in the notice period</w:t>
      </w:r>
      <w:r w:rsidR="00E30316">
        <w:t xml:space="preserve"> or unworked period of notice</w:t>
      </w:r>
      <w:r>
        <w:t xml:space="preserve">. </w:t>
      </w:r>
      <w:r w:rsidR="007D1F61">
        <w:t>For example, i</w:t>
      </w:r>
      <w:r>
        <w:t xml:space="preserve">f the employee </w:t>
      </w:r>
      <w:r w:rsidR="00AF1E44">
        <w:t>has a 3-</w:t>
      </w:r>
      <w:r w:rsidRPr="00AE3FF3">
        <w:t>month notice period,</w:t>
      </w:r>
      <w:r w:rsidR="00E30316">
        <w:t xml:space="preserve"> and has not worked any of it,</w:t>
      </w:r>
      <w:r w:rsidRPr="00AE3FF3">
        <w:t xml:space="preserve"> this number would be 3.</w:t>
      </w:r>
      <w:r w:rsidR="00E30316">
        <w:t xml:space="preserve"> If the employee has worked 1 month of the notice period, leaving 2 months unworked, then this number will be 2. </w:t>
      </w:r>
    </w:p>
    <w:p w14:paraId="6A85118B" w14:textId="77777777" w:rsidR="002C397B" w:rsidRPr="00AE3FF3" w:rsidRDefault="002C397B" w:rsidP="00AE3FF3"/>
    <w:p w14:paraId="0DFEEE85" w14:textId="77777777" w:rsidR="002C397B" w:rsidRDefault="00AE3FF3" w:rsidP="00AE3FF3">
      <w:r w:rsidRPr="004C7A2C">
        <w:rPr>
          <w:b/>
        </w:rPr>
        <w:t>T</w:t>
      </w:r>
      <w:r w:rsidRPr="00AE3FF3">
        <w:t xml:space="preserve"> – any payments paid under the settlement agreement that are</w:t>
      </w:r>
      <w:r w:rsidR="00214B28">
        <w:t xml:space="preserve"> already</w:t>
      </w:r>
      <w:r w:rsidRPr="00AE3FF3">
        <w:t xml:space="preserve"> taxable</w:t>
      </w:r>
      <w:r w:rsidR="00214B28">
        <w:t xml:space="preserve"> as earnings</w:t>
      </w:r>
      <w:r w:rsidRPr="00AE3FF3">
        <w:t xml:space="preserve">. Most commonly, T will </w:t>
      </w:r>
      <w:r w:rsidR="00EF4D66">
        <w:t xml:space="preserve">represent </w:t>
      </w:r>
      <w:r w:rsidR="002C397B">
        <w:t xml:space="preserve">a separate </w:t>
      </w:r>
      <w:r w:rsidRPr="00AE3FF3">
        <w:t>contractual PILON</w:t>
      </w:r>
      <w:r w:rsidR="002C397B">
        <w:t xml:space="preserve"> payment made to the employee (as this will already be separately subject to tax).</w:t>
      </w:r>
    </w:p>
    <w:p w14:paraId="081122CF" w14:textId="77777777" w:rsidR="002C397B" w:rsidRDefault="002C397B" w:rsidP="00AE3FF3"/>
    <w:p w14:paraId="14712569" w14:textId="04075EC9" w:rsidR="002C397B" w:rsidRDefault="00214B28" w:rsidP="00AE3FF3">
      <w:r>
        <w:t xml:space="preserve">If your organisation has a </w:t>
      </w:r>
      <w:r w:rsidRPr="00214B28">
        <w:t xml:space="preserve">practice </w:t>
      </w:r>
      <w:r>
        <w:t xml:space="preserve">of </w:t>
      </w:r>
      <w:r w:rsidRPr="00EB05CC">
        <w:rPr>
          <w:b/>
        </w:rPr>
        <w:t>always</w:t>
      </w:r>
      <w:r>
        <w:t xml:space="preserve"> making a PILON payment, even though there is no PILON clause in your contracts, this is known as an ‘auto-PILON’ and will need to be included here. </w:t>
      </w:r>
    </w:p>
    <w:p w14:paraId="53B4E830" w14:textId="77777777" w:rsidR="002C397B" w:rsidRDefault="002C397B" w:rsidP="00AE3FF3"/>
    <w:p w14:paraId="5E3C585F" w14:textId="77777777" w:rsidR="00AE3FF3" w:rsidRPr="00AE3FF3" w:rsidRDefault="002C397B" w:rsidP="00AE3FF3">
      <w:r>
        <w:t>Note that ‘T’ does</w:t>
      </w:r>
      <w:r w:rsidRPr="00EB05CC">
        <w:rPr>
          <w:b/>
        </w:rPr>
        <w:t xml:space="preserve"> not</w:t>
      </w:r>
      <w:r>
        <w:t xml:space="preserve"> include the following payments made on termination; accrued holiday pay; any bonus payable for termination of employment; statutory or enhanced redundancy pay; or any payment in</w:t>
      </w:r>
      <w:r w:rsidR="008062F0">
        <w:t>to an employee’s pension scheme</w:t>
      </w:r>
      <w:r w:rsidR="009A2ABA">
        <w:t>.</w:t>
      </w:r>
    </w:p>
    <w:p w14:paraId="4C1713AC" w14:textId="77777777" w:rsidR="00AE3FF3" w:rsidRDefault="00AE3FF3" w:rsidP="00AE3FF3">
      <w:pPr>
        <w:rPr>
          <w:b/>
          <w:bCs/>
          <w:u w:val="single"/>
        </w:rPr>
      </w:pPr>
    </w:p>
    <w:p w14:paraId="2C5A7B30" w14:textId="77777777" w:rsidR="00AE3FF3" w:rsidRPr="00AE3FF3" w:rsidRDefault="00AE3FF3" w:rsidP="00AE3FF3">
      <w:pPr>
        <w:rPr>
          <w:b/>
          <w:bCs/>
          <w:u w:val="single"/>
        </w:rPr>
      </w:pPr>
      <w:r w:rsidRPr="00AE3FF3">
        <w:rPr>
          <w:b/>
          <w:bCs/>
          <w:u w:val="single"/>
        </w:rPr>
        <w:t>Standard formula</w:t>
      </w:r>
    </w:p>
    <w:p w14:paraId="2634A1C7" w14:textId="77777777" w:rsidR="00AF1E44" w:rsidRDefault="00AF1E44" w:rsidP="00AE3FF3"/>
    <w:p w14:paraId="4C2F11C1" w14:textId="77777777" w:rsidR="00AE3FF3" w:rsidRPr="00EB05CC" w:rsidRDefault="00AE3FF3" w:rsidP="00AE3FF3">
      <w:r w:rsidRPr="00EB05CC">
        <w:t>If an employee’s notice pay is expressed in an alternative to months</w:t>
      </w:r>
      <w:r w:rsidR="009A2ABA" w:rsidRPr="00EB05CC">
        <w:t xml:space="preserve"> (</w:t>
      </w:r>
      <w:r w:rsidRPr="00EB05CC">
        <w:t>weeks for example</w:t>
      </w:r>
      <w:r w:rsidR="009A2ABA" w:rsidRPr="00EB05CC">
        <w:t>)</w:t>
      </w:r>
      <w:r w:rsidR="009A2ABA">
        <w:t xml:space="preserve">, or the </w:t>
      </w:r>
      <w:r w:rsidR="009A2ABA" w:rsidRPr="008062F0">
        <w:rPr>
          <w:b/>
        </w:rPr>
        <w:t>unworked</w:t>
      </w:r>
      <w:r w:rsidR="009A2ABA">
        <w:t xml:space="preserve"> portion of the employee’s notice period is not a whole number of months,</w:t>
      </w:r>
      <w:r w:rsidRPr="00EB05CC">
        <w:t xml:space="preserve"> the standard formula below applies:</w:t>
      </w:r>
    </w:p>
    <w:p w14:paraId="44C8F760" w14:textId="77777777" w:rsidR="00AE3FF3" w:rsidRPr="00AE3FF3" w:rsidRDefault="00AE3FF3" w:rsidP="00AE3FF3"/>
    <w:p w14:paraId="6CC6E4AE" w14:textId="77777777" w:rsidR="00AE3FF3" w:rsidRPr="00AE3FF3" w:rsidRDefault="00AE3FF3" w:rsidP="00AE3FF3">
      <w:pPr>
        <w:rPr>
          <w:b/>
          <w:bCs/>
        </w:rPr>
      </w:pPr>
      <w:r w:rsidRPr="00EB05CC">
        <w:rPr>
          <w:b/>
          <w:bCs/>
          <w:highlight w:val="yellow"/>
        </w:rPr>
        <w:t>The formula is ((BP x D)/</w:t>
      </w:r>
      <w:r w:rsidRPr="004C7A2C">
        <w:rPr>
          <w:b/>
          <w:bCs/>
          <w:highlight w:val="yellow"/>
        </w:rPr>
        <w:t>P</w:t>
      </w:r>
      <w:r w:rsidRPr="00EB05CC">
        <w:rPr>
          <w:b/>
          <w:bCs/>
          <w:highlight w:val="yellow"/>
        </w:rPr>
        <w:t>) – T</w:t>
      </w:r>
    </w:p>
    <w:p w14:paraId="253FDA01" w14:textId="77777777" w:rsidR="00AE3FF3" w:rsidRPr="00AE3FF3" w:rsidRDefault="00AE3FF3" w:rsidP="00AE3FF3">
      <w:pPr>
        <w:rPr>
          <w:b/>
          <w:bCs/>
        </w:rPr>
      </w:pPr>
    </w:p>
    <w:p w14:paraId="1D9B1655" w14:textId="77777777" w:rsidR="00AE3FF3" w:rsidRDefault="00AE3FF3" w:rsidP="00AE3FF3">
      <w:r w:rsidRPr="00EB05CC">
        <w:rPr>
          <w:b/>
        </w:rPr>
        <w:t>BP</w:t>
      </w:r>
      <w:r w:rsidRPr="00AE3FF3">
        <w:t xml:space="preserve"> – basic pay for the last pay period to end before the day notice is given.</w:t>
      </w:r>
      <w:r w:rsidR="0095186E">
        <w:t xml:space="preserve"> Basic pay is worked out in the same way as for the simplified formula above. </w:t>
      </w:r>
    </w:p>
    <w:p w14:paraId="61B476AC" w14:textId="77777777" w:rsidR="003345E2" w:rsidRPr="00AE3FF3" w:rsidRDefault="003345E2" w:rsidP="00AE3FF3"/>
    <w:p w14:paraId="63397C60" w14:textId="4FCC6C29" w:rsidR="00AE3FF3" w:rsidRDefault="00AE3FF3" w:rsidP="00AE3FF3">
      <w:r w:rsidRPr="00EB05CC">
        <w:rPr>
          <w:b/>
        </w:rPr>
        <w:t>D</w:t>
      </w:r>
      <w:r w:rsidRPr="00AE3FF3">
        <w:t xml:space="preserve"> - the number of </w:t>
      </w:r>
      <w:r w:rsidR="00E13A9C">
        <w:t xml:space="preserve">calendar </w:t>
      </w:r>
      <w:r w:rsidRPr="00AE3FF3">
        <w:t xml:space="preserve">days in the </w:t>
      </w:r>
      <w:r w:rsidR="00E13A9C">
        <w:t xml:space="preserve">unworked portion of the </w:t>
      </w:r>
      <w:r w:rsidRPr="00AE3FF3">
        <w:t>no</w:t>
      </w:r>
      <w:r w:rsidR="006829FD">
        <w:t>tice period. For example, an employee</w:t>
      </w:r>
      <w:r w:rsidRPr="00AE3FF3">
        <w:t xml:space="preserve"> may be working 1 week of </w:t>
      </w:r>
      <w:r w:rsidR="006829FD">
        <w:t>his/her 4</w:t>
      </w:r>
      <w:r w:rsidR="005051A5">
        <w:t>-</w:t>
      </w:r>
      <w:r w:rsidR="006829FD">
        <w:t>week notice period</w:t>
      </w:r>
      <w:r w:rsidR="00EF4D66">
        <w:t xml:space="preserve"> – leaving 3 weeks unworked notice remaining</w:t>
      </w:r>
      <w:r w:rsidR="006829FD">
        <w:t>; In that case,</w:t>
      </w:r>
      <w:r w:rsidRPr="00AE3FF3">
        <w:t xml:space="preserve"> this numb</w:t>
      </w:r>
      <w:r w:rsidR="006829FD">
        <w:t xml:space="preserve">er would be </w:t>
      </w:r>
      <w:r w:rsidR="00E13A9C">
        <w:t>21.</w:t>
      </w:r>
    </w:p>
    <w:p w14:paraId="2F654B30" w14:textId="77777777" w:rsidR="003345E2" w:rsidRPr="00AE3FF3" w:rsidRDefault="003345E2" w:rsidP="00AE3FF3"/>
    <w:p w14:paraId="5C0241E2" w14:textId="67618FBE" w:rsidR="003345E2" w:rsidRDefault="00AE3FF3" w:rsidP="00AE3FF3">
      <w:r w:rsidRPr="00EB05CC">
        <w:rPr>
          <w:b/>
        </w:rPr>
        <w:t>P</w:t>
      </w:r>
      <w:r w:rsidRPr="00EB05CC">
        <w:t xml:space="preserve"> – the number of </w:t>
      </w:r>
      <w:r w:rsidR="00E13A9C">
        <w:t xml:space="preserve">calendar </w:t>
      </w:r>
      <w:r w:rsidRPr="00EB05CC">
        <w:t xml:space="preserve">days in the pay period. </w:t>
      </w:r>
      <w:r w:rsidR="00021537">
        <w:t xml:space="preserve">Following a recent change in legislation, </w:t>
      </w:r>
      <w:r w:rsidR="00E13A9C">
        <w:t xml:space="preserve">in cases where the pay period is </w:t>
      </w:r>
      <w:r w:rsidR="00E13A9C" w:rsidRPr="00D1399D">
        <w:rPr>
          <w:b/>
          <w:bCs/>
        </w:rPr>
        <w:t>one month</w:t>
      </w:r>
      <w:r w:rsidR="00E13A9C">
        <w:t xml:space="preserve">, </w:t>
      </w:r>
      <w:r w:rsidR="00021537">
        <w:t xml:space="preserve">P will now </w:t>
      </w:r>
      <w:r w:rsidR="00021537" w:rsidRPr="00EB05CC">
        <w:rPr>
          <w:b/>
        </w:rPr>
        <w:t xml:space="preserve">always </w:t>
      </w:r>
      <w:r w:rsidR="008062F0">
        <w:t xml:space="preserve">be </w:t>
      </w:r>
      <w:r w:rsidR="00021537">
        <w:t>represent</w:t>
      </w:r>
      <w:r w:rsidR="008062F0">
        <w:t>ed by the figure</w:t>
      </w:r>
      <w:r w:rsidR="00021537">
        <w:t xml:space="preserve"> </w:t>
      </w:r>
      <w:r w:rsidR="00021537" w:rsidRPr="00EB05CC">
        <w:rPr>
          <w:b/>
        </w:rPr>
        <w:t>30.42</w:t>
      </w:r>
      <w:r w:rsidR="00021537">
        <w:t xml:space="preserve"> (the average number of days in a calendar month). This to ensure that all employees are treated consistently, regardless of whether their employment terminates following a shorter month, or a longer month.  </w:t>
      </w:r>
    </w:p>
    <w:p w14:paraId="5DA665F3" w14:textId="77777777" w:rsidR="00795698" w:rsidRPr="00D74F2D" w:rsidRDefault="00795698" w:rsidP="00AE3FF3"/>
    <w:p w14:paraId="53A1F5DD" w14:textId="77777777" w:rsidR="003F6CB1" w:rsidRDefault="00AE3FF3" w:rsidP="00AE3FF3">
      <w:r w:rsidRPr="00EB05CC">
        <w:rPr>
          <w:b/>
        </w:rPr>
        <w:lastRenderedPageBreak/>
        <w:t>T</w:t>
      </w:r>
      <w:r w:rsidRPr="00AE3FF3">
        <w:t xml:space="preserve"> – any payments paid under the settlement agreement that are</w:t>
      </w:r>
      <w:r w:rsidR="00EF4D66">
        <w:t xml:space="preserve"> already</w:t>
      </w:r>
      <w:r w:rsidRPr="00AE3FF3">
        <w:t xml:space="preserve"> taxable</w:t>
      </w:r>
      <w:r w:rsidR="00EF4D66">
        <w:t xml:space="preserve"> as earnings. </w:t>
      </w:r>
      <w:r w:rsidR="00EF4D66" w:rsidRPr="00AE3FF3">
        <w:t xml:space="preserve">Most commonly, T will </w:t>
      </w:r>
      <w:r w:rsidR="00EF4D66">
        <w:t xml:space="preserve">represent a separate </w:t>
      </w:r>
      <w:r w:rsidR="00EF4D66" w:rsidRPr="00AE3FF3">
        <w:t>contractual PILON</w:t>
      </w:r>
      <w:r w:rsidR="00EF4D66">
        <w:t xml:space="preserve"> payment made to the employee (as this will already be separately subject to tax). T is worked out in the same way as for the simplified formula above. </w:t>
      </w:r>
    </w:p>
    <w:p w14:paraId="07621048" w14:textId="77777777" w:rsidR="003F6CB1" w:rsidRDefault="003F6CB1" w:rsidP="00AE3FF3"/>
    <w:p w14:paraId="550834EA" w14:textId="77777777" w:rsidR="00F4169B" w:rsidRPr="003D4875" w:rsidRDefault="00F4169B">
      <w:pPr>
        <w:spacing w:after="240"/>
        <w:rPr>
          <w:b/>
          <w:u w:val="single"/>
        </w:rPr>
      </w:pPr>
      <w:r w:rsidRPr="003D4875">
        <w:rPr>
          <w:b/>
          <w:u w:val="single"/>
        </w:rPr>
        <w:t>What happens if no notice is given or received?</w:t>
      </w:r>
    </w:p>
    <w:p w14:paraId="22647D43" w14:textId="77777777" w:rsidR="00F4169B" w:rsidRPr="00E421A1" w:rsidRDefault="00F4169B">
      <w:pPr>
        <w:spacing w:after="240"/>
        <w:rPr>
          <w:bCs/>
        </w:rPr>
      </w:pPr>
      <w:r w:rsidRPr="00E421A1">
        <w:rPr>
          <w:bCs/>
        </w:rPr>
        <w:t xml:space="preserve">There may be some situations where an employee exits your organisation but either no notice is due to the employee or alternatively, notice is due to the employee but no letter formally giving notice is ever issued. </w:t>
      </w:r>
    </w:p>
    <w:p w14:paraId="19DD26AF" w14:textId="66422DFD" w:rsidR="001B6BBE" w:rsidRPr="00E421A1" w:rsidRDefault="00F4169B">
      <w:pPr>
        <w:spacing w:after="240"/>
        <w:rPr>
          <w:bCs/>
        </w:rPr>
      </w:pPr>
      <w:r w:rsidRPr="00E421A1">
        <w:rPr>
          <w:bCs/>
        </w:rPr>
        <w:t xml:space="preserve">For example, </w:t>
      </w:r>
      <w:r w:rsidR="001B6BBE" w:rsidRPr="00E421A1">
        <w:rPr>
          <w:bCs/>
        </w:rPr>
        <w:t xml:space="preserve">as explained above, you may summarily dismiss an employee for gross misconduct, giving them no notice of termination. Even though, at the time of dismissal, you believed that no notice was due, you will still need to carry out a PENP calculation if you later make a payment to that employee via a COT3 or settlement agreement. In that case, the value of ‘D’ in </w:t>
      </w:r>
      <w:r w:rsidR="00F87BFE" w:rsidRPr="00E421A1">
        <w:rPr>
          <w:bCs/>
        </w:rPr>
        <w:t xml:space="preserve">either the simplified or standard PENP calculation above, should be equivalent to the whole of the notice period you would have been obliged to give the employee, if you had dismissed them with full contractual notice rather than summarily. </w:t>
      </w:r>
    </w:p>
    <w:p w14:paraId="5EC625D3" w14:textId="18017EBA" w:rsidR="00723BBF" w:rsidRPr="00E421A1" w:rsidRDefault="00F87BFE">
      <w:pPr>
        <w:spacing w:after="240"/>
        <w:rPr>
          <w:bCs/>
        </w:rPr>
      </w:pPr>
      <w:r w:rsidRPr="00E421A1">
        <w:rPr>
          <w:bCs/>
        </w:rPr>
        <w:t>Alternatively,</w:t>
      </w:r>
      <w:r w:rsidR="001B6BBE" w:rsidRPr="00E421A1">
        <w:rPr>
          <w:bCs/>
        </w:rPr>
        <w:t xml:space="preserve"> may enter into a </w:t>
      </w:r>
      <w:r w:rsidRPr="00E421A1">
        <w:rPr>
          <w:bCs/>
        </w:rPr>
        <w:t xml:space="preserve">settlement agreement with an employee following a period of negotiation. The terms of their exit are all set out in the settlement agreement, and no formal notice of termination is separately issued. </w:t>
      </w:r>
      <w:r w:rsidR="008F3B38" w:rsidRPr="00E421A1">
        <w:rPr>
          <w:bCs/>
        </w:rPr>
        <w:t>A PENP calculation m</w:t>
      </w:r>
      <w:r w:rsidR="000351A8" w:rsidRPr="00E421A1">
        <w:rPr>
          <w:bCs/>
        </w:rPr>
        <w:t>u</w:t>
      </w:r>
      <w:r w:rsidR="008F3B38" w:rsidRPr="00E421A1">
        <w:rPr>
          <w:bCs/>
        </w:rPr>
        <w:t>st still be performed in these circumstances.</w:t>
      </w:r>
      <w:r w:rsidR="00B03047" w:rsidRPr="00E421A1">
        <w:rPr>
          <w:bCs/>
        </w:rPr>
        <w:t xml:space="preserve"> </w:t>
      </w:r>
    </w:p>
    <w:p w14:paraId="4BB32F3B" w14:textId="2016DA69" w:rsidR="00497394" w:rsidRPr="00E421A1" w:rsidRDefault="00DE32C8">
      <w:pPr>
        <w:spacing w:after="240"/>
        <w:rPr>
          <w:bCs/>
        </w:rPr>
      </w:pPr>
      <w:r w:rsidRPr="00E421A1">
        <w:rPr>
          <w:bCs/>
        </w:rPr>
        <w:t xml:space="preserve">The proposed date of termination of employment will usually be stated in the settlement agreement. </w:t>
      </w:r>
      <w:r w:rsidR="00723BBF" w:rsidRPr="00E421A1">
        <w:rPr>
          <w:bCs/>
        </w:rPr>
        <w:t xml:space="preserve">If employment will terminate immediately on signature of the of the settlement agreement, or shortly afterwards, the easiest approach </w:t>
      </w:r>
      <w:r w:rsidR="006C67EF" w:rsidRPr="00E421A1">
        <w:rPr>
          <w:bCs/>
        </w:rPr>
        <w:t>will usually</w:t>
      </w:r>
      <w:r w:rsidR="00723BBF" w:rsidRPr="00E421A1">
        <w:rPr>
          <w:bCs/>
        </w:rPr>
        <w:t xml:space="preserve"> be to </w:t>
      </w:r>
      <w:r w:rsidR="00781CFA" w:rsidRPr="00E421A1">
        <w:rPr>
          <w:bCs/>
        </w:rPr>
        <w:t xml:space="preserve">state that no notice is being worked. The employee’s whole contractual notice period should be treated as unworked for the purposes of the PENP calculation. </w:t>
      </w:r>
    </w:p>
    <w:p w14:paraId="58174A56" w14:textId="4CA7F4D7" w:rsidR="008062F0" w:rsidRPr="00E421A1" w:rsidRDefault="008062F0">
      <w:pPr>
        <w:spacing w:after="240"/>
        <w:rPr>
          <w:bCs/>
          <w:u w:val="single"/>
        </w:rPr>
      </w:pPr>
      <w:bookmarkStart w:id="0" w:name="LASTCURSORPOSITION"/>
      <w:bookmarkEnd w:id="0"/>
      <w:r w:rsidRPr="00E421A1">
        <w:rPr>
          <w:b/>
          <w:u w:val="single"/>
        </w:rPr>
        <w:br w:type="page"/>
      </w:r>
    </w:p>
    <w:p w14:paraId="108B9738" w14:textId="77777777" w:rsidR="003F6CB1" w:rsidRPr="000D5EF4" w:rsidRDefault="003F6CB1" w:rsidP="003F6CB1">
      <w:pPr>
        <w:rPr>
          <w:b/>
        </w:rPr>
      </w:pPr>
      <w:r w:rsidRPr="000D5EF4">
        <w:rPr>
          <w:b/>
        </w:rPr>
        <w:lastRenderedPageBreak/>
        <w:t>Example PENP Calculations</w:t>
      </w:r>
      <w:r>
        <w:rPr>
          <w:noProof/>
          <w:lang w:eastAsia="en-GB"/>
        </w:rPr>
        <mc:AlternateContent>
          <mc:Choice Requires="wps">
            <w:drawing>
              <wp:anchor distT="45720" distB="45720" distL="114300" distR="114300" simplePos="0" relativeHeight="251659264" behindDoc="0" locked="0" layoutInCell="1" allowOverlap="1" wp14:anchorId="2895DD9B" wp14:editId="1863409A">
                <wp:simplePos x="0" y="0"/>
                <wp:positionH relativeFrom="margin">
                  <wp:align>left</wp:align>
                </wp:positionH>
                <wp:positionV relativeFrom="paragraph">
                  <wp:posOffset>382270</wp:posOffset>
                </wp:positionV>
                <wp:extent cx="5995035" cy="3848735"/>
                <wp:effectExtent l="0" t="0" r="2476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848735"/>
                        </a:xfrm>
                        <a:prstGeom prst="rect">
                          <a:avLst/>
                        </a:prstGeom>
                        <a:solidFill>
                          <a:srgbClr val="FFFFFF"/>
                        </a:solidFill>
                        <a:ln w="19050">
                          <a:solidFill>
                            <a:srgbClr val="000000"/>
                          </a:solidFill>
                          <a:miter lim="800000"/>
                          <a:headEnd/>
                          <a:tailEnd/>
                        </a:ln>
                      </wps:spPr>
                      <wps:txbx>
                        <w:txbxContent>
                          <w:p w14:paraId="62E5661F" w14:textId="77777777" w:rsidR="003F6CB1" w:rsidRDefault="003F6CB1" w:rsidP="003F6CB1">
                            <w:pPr>
                              <w:rPr>
                                <w:b/>
                              </w:rPr>
                            </w:pPr>
                            <w:r>
                              <w:rPr>
                                <w:b/>
                              </w:rPr>
                              <w:t>Example 1: Simplified formula:  Alex</w:t>
                            </w:r>
                          </w:p>
                          <w:p w14:paraId="158BA4C8" w14:textId="77777777" w:rsidR="003F6CB1" w:rsidRDefault="003F6CB1" w:rsidP="003F6CB1">
                            <w:pPr>
                              <w:rPr>
                                <w:b/>
                              </w:rPr>
                            </w:pPr>
                          </w:p>
                          <w:p w14:paraId="293D4740" w14:textId="77777777" w:rsidR="003F6CB1" w:rsidRDefault="003F6CB1" w:rsidP="003F6CB1">
                            <w:pPr>
                              <w:rPr>
                                <w:b/>
                              </w:rPr>
                            </w:pPr>
                            <w:r>
                              <w:rPr>
                                <w:b/>
                              </w:rPr>
                              <w:t>Alex receives £3,000 monthly basic pay. He does not take part in any salary sacrifice arrangements. His employer is obliged to give him three months’ notice. There is no contractual PILON clause in his contract. Alex works one month of his three-month notice period. His employer proposes to make a settlement payment of £10,000 to facilitate his exit from the business. What portion of this payment must be ‘carved out’ and subject to tax under the PENP rules?</w:t>
                            </w:r>
                          </w:p>
                          <w:p w14:paraId="2EE33DBD" w14:textId="77777777" w:rsidR="003F6CB1" w:rsidRDefault="003F6CB1" w:rsidP="003F6CB1"/>
                          <w:p w14:paraId="5EC44D2E" w14:textId="77777777" w:rsidR="003F6CB1" w:rsidRDefault="003F6CB1" w:rsidP="003F6CB1">
                            <w:r>
                              <w:t xml:space="preserve">The simplified formula can be used here ‘as the notice period, and the unworked portion of that notice period are both </w:t>
                            </w:r>
                            <w:r w:rsidRPr="00400FEB">
                              <w:rPr>
                                <w:b/>
                              </w:rPr>
                              <w:t>whole months</w:t>
                            </w:r>
                            <w:r>
                              <w:t xml:space="preserve">. </w:t>
                            </w:r>
                          </w:p>
                          <w:p w14:paraId="2BD1CF87" w14:textId="77777777" w:rsidR="003F6CB1" w:rsidRDefault="003F6CB1" w:rsidP="003F6CB1"/>
                          <w:p w14:paraId="2B134483" w14:textId="77777777" w:rsidR="003F6CB1" w:rsidRDefault="003F6CB1" w:rsidP="003F6CB1">
                            <w:r>
                              <w:t>BP = £3,000</w:t>
                            </w:r>
                          </w:p>
                          <w:p w14:paraId="1D382098" w14:textId="77777777" w:rsidR="003F6CB1" w:rsidRDefault="003F6CB1" w:rsidP="003F6CB1">
                            <w:r>
                              <w:t>D = 2 (there are 2 months outstanding of the 3-month notice period)</w:t>
                            </w:r>
                          </w:p>
                          <w:p w14:paraId="0D473A3E" w14:textId="77777777" w:rsidR="003F6CB1" w:rsidRDefault="003F6CB1" w:rsidP="003F6CB1">
                            <w:r>
                              <w:t>T = Nil (there is no contractual PILON or other taxable payment being made on termination)</w:t>
                            </w:r>
                          </w:p>
                          <w:p w14:paraId="009219E5" w14:textId="77777777" w:rsidR="003F6CB1" w:rsidRDefault="003F6CB1" w:rsidP="003F6CB1">
                            <w:pPr>
                              <w:rPr>
                                <w:b/>
                              </w:rPr>
                            </w:pPr>
                            <w:r>
                              <w:t xml:space="preserve">BP (3,000) x D (2) – T (nil) = </w:t>
                            </w:r>
                            <w:r w:rsidRPr="00400FEB">
                              <w:rPr>
                                <w:b/>
                              </w:rPr>
                              <w:t>£6,000</w:t>
                            </w:r>
                          </w:p>
                          <w:p w14:paraId="7FF81099" w14:textId="77777777" w:rsidR="003F6CB1" w:rsidRDefault="003F6CB1" w:rsidP="003F6CB1"/>
                          <w:p w14:paraId="6AA1B671" w14:textId="77777777" w:rsidR="003F6CB1" w:rsidRDefault="003F6CB1" w:rsidP="003F6CB1">
                            <w:r w:rsidRPr="00D100EB">
                              <w:t>The</w:t>
                            </w:r>
                            <w:r>
                              <w:rPr>
                                <w:b/>
                              </w:rPr>
                              <w:t xml:space="preserve"> PENP </w:t>
                            </w:r>
                            <w:r>
                              <w:t xml:space="preserve">payment is </w:t>
                            </w:r>
                            <w:r w:rsidRPr="00D100EB">
                              <w:rPr>
                                <w:b/>
                              </w:rPr>
                              <w:t>£6,000</w:t>
                            </w:r>
                            <w:r>
                              <w:t xml:space="preserve"> and will be subject to tax. The balance of </w:t>
                            </w:r>
                            <w:r w:rsidRPr="00D100EB">
                              <w:rPr>
                                <w:b/>
                              </w:rPr>
                              <w:t>£4,000</w:t>
                            </w:r>
                            <w:r>
                              <w:t xml:space="preserve"> (£10,000-£6,000) is taxable under s403 ITEPA, but can be paid tax free as it falls within the £30,000 exemption. </w:t>
                            </w:r>
                          </w:p>
                          <w:p w14:paraId="58E0F1FA" w14:textId="77777777" w:rsidR="003F6CB1" w:rsidRDefault="003F6CB1" w:rsidP="003F6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ADF52" id="_x0000_t202" coordsize="21600,21600" o:spt="202" path="m,l,21600r21600,l21600,xe">
                <v:stroke joinstyle="miter"/>
                <v:path gradientshapeok="t" o:connecttype="rect"/>
              </v:shapetype>
              <v:shape id="Text Box 2" o:spid="_x0000_s1026" type="#_x0000_t202" style="position:absolute;margin-left:0;margin-top:30.1pt;width:472.05pt;height:30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" strokeweight="1.5pt">
                <v:textbox>
                  <w:txbxContent>
                    <w:p w:rsidR="003F6CB1" w:rsidRDefault="003F6CB1" w:rsidP="003F6CB1">
                      <w:pPr>
                        <w:rPr>
                          <w:b/>
                        </w:rPr>
                      </w:pPr>
                      <w:r>
                        <w:rPr>
                          <w:b/>
                        </w:rPr>
                        <w:t>Example 1: Simplified formula:  Alex</w:t>
                      </w:r>
                    </w:p>
                    <w:p w:rsidR="003F6CB1" w:rsidRDefault="003F6CB1" w:rsidP="003F6CB1">
                      <w:pPr>
                        <w:rPr>
                          <w:b/>
                        </w:rPr>
                      </w:pPr>
                    </w:p>
                    <w:p w:rsidR="003F6CB1" w:rsidRDefault="003F6CB1" w:rsidP="003F6CB1">
                      <w:pPr>
                        <w:rPr>
                          <w:b/>
                        </w:rPr>
                      </w:pPr>
                      <w:r>
                        <w:rPr>
                          <w:b/>
                        </w:rPr>
                        <w:t>Alex receives £3,000 monthly basic pay. He does not take part in any salary sacrifice arrangements. His employer is obliged to give him three months’ notice. There is no contractual PILON clause in his contract. Alex works one month of his three-month notice period. His employer proposes to make a settlement payment of £10,000 to facilitate his exit from the business. What portion of this payment must be ‘carved out’ and subject to tax under the PENP rules?</w:t>
                      </w:r>
                    </w:p>
                    <w:p w:rsidR="003F6CB1" w:rsidRDefault="003F6CB1" w:rsidP="003F6CB1"/>
                    <w:p w:rsidR="003F6CB1" w:rsidRDefault="003F6CB1" w:rsidP="003F6CB1">
                      <w:r>
                        <w:t xml:space="preserve">The simplified formula can be used here ‘as the notice period, and the unworked portion of that notice period are both </w:t>
                      </w:r>
                      <w:r w:rsidRPr="00400FEB">
                        <w:rPr>
                          <w:b/>
                        </w:rPr>
                        <w:t>whole months</w:t>
                      </w:r>
                      <w:r>
                        <w:t xml:space="preserve">. </w:t>
                      </w:r>
                    </w:p>
                    <w:p w:rsidR="003F6CB1" w:rsidRDefault="003F6CB1" w:rsidP="003F6CB1"/>
                    <w:p w:rsidR="003F6CB1" w:rsidRDefault="003F6CB1" w:rsidP="003F6CB1">
                      <w:r>
                        <w:t>BP = £3,000</w:t>
                      </w:r>
                    </w:p>
                    <w:p w:rsidR="003F6CB1" w:rsidRDefault="003F6CB1" w:rsidP="003F6CB1">
                      <w:r>
                        <w:t>D = 2 (there are 2 months outstanding of the 3-month notice period)</w:t>
                      </w:r>
                    </w:p>
                    <w:p w:rsidR="003F6CB1" w:rsidRDefault="003F6CB1" w:rsidP="003F6CB1">
                      <w:r>
                        <w:t>T = Nil (there is no contractual PILON or other taxable payment being made on termination)</w:t>
                      </w:r>
                    </w:p>
                    <w:p w:rsidR="003F6CB1" w:rsidRDefault="003F6CB1" w:rsidP="003F6CB1">
                      <w:pPr>
                        <w:rPr>
                          <w:b/>
                        </w:rPr>
                      </w:pPr>
                      <w:r>
                        <w:t xml:space="preserve">BP (3,000) x D (2) – T (nil) = </w:t>
                      </w:r>
                      <w:r w:rsidRPr="00400FEB">
                        <w:rPr>
                          <w:b/>
                        </w:rPr>
                        <w:t>£6,000</w:t>
                      </w:r>
                    </w:p>
                    <w:p w:rsidR="003F6CB1" w:rsidRDefault="003F6CB1" w:rsidP="003F6CB1"/>
                    <w:p w:rsidR="003F6CB1" w:rsidRDefault="003F6CB1" w:rsidP="003F6CB1">
                      <w:r w:rsidRPr="00D100EB">
                        <w:t>The</w:t>
                      </w:r>
                      <w:r>
                        <w:rPr>
                          <w:b/>
                        </w:rPr>
                        <w:t xml:space="preserve"> PENP </w:t>
                      </w:r>
                      <w:r>
                        <w:t xml:space="preserve">payment is </w:t>
                      </w:r>
                      <w:r w:rsidRPr="00D100EB">
                        <w:rPr>
                          <w:b/>
                        </w:rPr>
                        <w:t>£6,000</w:t>
                      </w:r>
                      <w:r>
                        <w:t xml:space="preserve"> and will be subject to tax. The balance of </w:t>
                      </w:r>
                      <w:r w:rsidRPr="00D100EB">
                        <w:rPr>
                          <w:b/>
                        </w:rPr>
                        <w:t>£4,000</w:t>
                      </w:r>
                      <w:r>
                        <w:t xml:space="preserve"> (£10,000-£6,000) is taxable under s403 ITEPA, but can be paid tax free as it falls within the £30,000 exemption. </w:t>
                      </w:r>
                    </w:p>
                    <w:p w:rsidR="003F6CB1" w:rsidRDefault="003F6CB1" w:rsidP="003F6CB1"/>
                  </w:txbxContent>
                </v:textbox>
                <w10:wrap type="square" anchorx="margin"/>
              </v:shape>
            </w:pict>
          </mc:Fallback>
        </mc:AlternateContent>
      </w:r>
    </w:p>
    <w:p w14:paraId="5634E7E1" w14:textId="77777777" w:rsidR="003F6CB1" w:rsidRDefault="003F6CB1" w:rsidP="003F6CB1"/>
    <w:p w14:paraId="46B086D8" w14:textId="77777777" w:rsidR="003F6CB1" w:rsidRDefault="003F6CB1" w:rsidP="003F6CB1"/>
    <w:p w14:paraId="7D31D9B7" w14:textId="77777777" w:rsidR="003F6CB1" w:rsidRDefault="003F6CB1" w:rsidP="003F6CB1"/>
    <w:p w14:paraId="7C7A4C18" w14:textId="77777777" w:rsidR="003F6CB1" w:rsidRDefault="003F6CB1" w:rsidP="003F6CB1"/>
    <w:p w14:paraId="7AC6366B" w14:textId="77777777" w:rsidR="003F6CB1" w:rsidRDefault="003F6CB1" w:rsidP="003F6CB1"/>
    <w:p w14:paraId="212290E6" w14:textId="77777777" w:rsidR="003F6CB1" w:rsidRDefault="003F6CB1" w:rsidP="003F6CB1"/>
    <w:p w14:paraId="461D7BEE" w14:textId="77777777" w:rsidR="003F6CB1" w:rsidRDefault="003F6CB1" w:rsidP="003F6CB1"/>
    <w:p w14:paraId="74283206" w14:textId="77777777" w:rsidR="003F6CB1" w:rsidRDefault="003F6CB1" w:rsidP="003F6CB1"/>
    <w:p w14:paraId="451404D8" w14:textId="77777777" w:rsidR="003F6CB1" w:rsidRDefault="003F6CB1" w:rsidP="003F6CB1"/>
    <w:p w14:paraId="2C0AA544" w14:textId="77777777" w:rsidR="003F6CB1" w:rsidRDefault="00C35D64" w:rsidP="003F6CB1">
      <w:pPr>
        <w:rPr>
          <w:b/>
        </w:rPr>
      </w:pPr>
      <w:r w:rsidRPr="0005631B">
        <w:rPr>
          <w:b/>
          <w:noProof/>
          <w:lang w:eastAsia="en-GB"/>
        </w:rPr>
        <w:lastRenderedPageBreak/>
        <mc:AlternateContent>
          <mc:Choice Requires="wps">
            <w:drawing>
              <wp:anchor distT="45720" distB="45720" distL="114300" distR="114300" simplePos="0" relativeHeight="251661312" behindDoc="0" locked="0" layoutInCell="1" allowOverlap="1" wp14:anchorId="32B21DC0" wp14:editId="762C255D">
                <wp:simplePos x="0" y="0"/>
                <wp:positionH relativeFrom="column">
                  <wp:posOffset>-130175</wp:posOffset>
                </wp:positionH>
                <wp:positionV relativeFrom="paragraph">
                  <wp:posOffset>5057775</wp:posOffset>
                </wp:positionV>
                <wp:extent cx="5989955" cy="2509520"/>
                <wp:effectExtent l="0" t="0" r="10795"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2509520"/>
                        </a:xfrm>
                        <a:prstGeom prst="rect">
                          <a:avLst/>
                        </a:prstGeom>
                        <a:solidFill>
                          <a:srgbClr val="FFFFFF"/>
                        </a:solidFill>
                        <a:ln w="19050">
                          <a:solidFill>
                            <a:srgbClr val="000000"/>
                          </a:solidFill>
                          <a:miter lim="800000"/>
                          <a:headEnd/>
                          <a:tailEnd/>
                        </a:ln>
                      </wps:spPr>
                      <wps:txbx>
                        <w:txbxContent>
                          <w:p w14:paraId="21B161B6" w14:textId="77777777" w:rsidR="003F6CB1" w:rsidRDefault="003F6CB1" w:rsidP="003F6CB1">
                            <w:pPr>
                              <w:rPr>
                                <w:b/>
                              </w:rPr>
                            </w:pPr>
                            <w:r w:rsidRPr="00F906BF">
                              <w:rPr>
                                <w:b/>
                              </w:rPr>
                              <w:t xml:space="preserve">Example 3: </w:t>
                            </w:r>
                            <w:r>
                              <w:rPr>
                                <w:b/>
                              </w:rPr>
                              <w:t xml:space="preserve">Simplified formula – including contractual PILON; </w:t>
                            </w:r>
                            <w:r w:rsidRPr="00F906BF">
                              <w:rPr>
                                <w:b/>
                              </w:rPr>
                              <w:t xml:space="preserve">Catherine </w:t>
                            </w:r>
                          </w:p>
                          <w:p w14:paraId="2CFE3C10" w14:textId="77777777" w:rsidR="003F6CB1" w:rsidRDefault="003F6CB1" w:rsidP="003F6CB1">
                            <w:pPr>
                              <w:rPr>
                                <w:b/>
                              </w:rPr>
                            </w:pPr>
                          </w:p>
                          <w:p w14:paraId="30530D73" w14:textId="77777777" w:rsidR="003F6CB1" w:rsidRDefault="003F6CB1" w:rsidP="003F6CB1">
                            <w:pPr>
                              <w:rPr>
                                <w:b/>
                              </w:rPr>
                            </w:pPr>
                            <w:r>
                              <w:rPr>
                                <w:b/>
                              </w:rPr>
                              <w:t xml:space="preserve">Catherine earns £10,000 per month and has a three-month notice period. Catherine does not take part in any salary sacrifice schemes. Her employer exercises a PILON clause in her contract and dismisses her without notice, making a payment of £30,000. Additionally, the employer makes an ex gratia payment of £10,000. </w:t>
                            </w:r>
                          </w:p>
                          <w:p w14:paraId="7D37D43C" w14:textId="77777777" w:rsidR="003F6CB1" w:rsidRDefault="003F6CB1" w:rsidP="003F6CB1"/>
                          <w:p w14:paraId="61D5EB5E" w14:textId="77777777" w:rsidR="003F6CB1" w:rsidRDefault="003F6CB1" w:rsidP="003F6CB1">
                            <w:r w:rsidRPr="00E8551C">
                              <w:t>BP</w:t>
                            </w:r>
                            <w:r>
                              <w:t xml:space="preserve"> (10,000)</w:t>
                            </w:r>
                            <w:r w:rsidRPr="00E8551C">
                              <w:t xml:space="preserve"> x D </w:t>
                            </w:r>
                            <w:r>
                              <w:t>(3) – T (£30,000) = 0</w:t>
                            </w:r>
                          </w:p>
                          <w:p w14:paraId="66B372CD" w14:textId="77777777" w:rsidR="003F6CB1" w:rsidRDefault="003F6CB1" w:rsidP="003F6CB1">
                            <w:r>
                              <w:t>PENP is nil as the contractual PILON effectively ‘cancels out’ the PENP payment. The ex gratia payment of £10,000 is taxable under s403 ITEPA, but can be paid tax free as it falls within the £30,000 exemption.</w:t>
                            </w:r>
                          </w:p>
                          <w:p w14:paraId="0D4813C5" w14:textId="77777777" w:rsidR="003F6CB1" w:rsidRDefault="003F6CB1" w:rsidP="003F6CB1"/>
                          <w:p w14:paraId="212B1242" w14:textId="77777777" w:rsidR="003F6CB1" w:rsidRDefault="003F6CB1" w:rsidP="003F6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18172" id="_x0000_s1027" type="#_x0000_t202" style="position:absolute;margin-left:-10.25pt;margin-top:398.25pt;width:471.65pt;height:19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" strokeweight="1.5pt">
                <v:textbox>
                  <w:txbxContent>
                    <w:p w:rsidR="003F6CB1" w:rsidRDefault="003F6CB1" w:rsidP="003F6CB1">
                      <w:pPr>
                        <w:rPr>
                          <w:b/>
                        </w:rPr>
                      </w:pPr>
                      <w:r w:rsidRPr="00F906BF">
                        <w:rPr>
                          <w:b/>
                        </w:rPr>
                        <w:t xml:space="preserve">Example 3: </w:t>
                      </w:r>
                      <w:r>
                        <w:rPr>
                          <w:b/>
                        </w:rPr>
                        <w:t xml:space="preserve">Simplified formula – including contractual PILON; </w:t>
                      </w:r>
                      <w:r w:rsidRPr="00F906BF">
                        <w:rPr>
                          <w:b/>
                        </w:rPr>
                        <w:t xml:space="preserve">Catherine </w:t>
                      </w:r>
                    </w:p>
                    <w:p w:rsidR="003F6CB1" w:rsidRDefault="003F6CB1" w:rsidP="003F6CB1">
                      <w:pPr>
                        <w:rPr>
                          <w:b/>
                        </w:rPr>
                      </w:pPr>
                    </w:p>
                    <w:p w:rsidR="003F6CB1" w:rsidRDefault="003F6CB1" w:rsidP="003F6CB1">
                      <w:pPr>
                        <w:rPr>
                          <w:b/>
                        </w:rPr>
                      </w:pPr>
                      <w:r>
                        <w:rPr>
                          <w:b/>
                        </w:rPr>
                        <w:t xml:space="preserve">Catherine earns £10,000 per month and has a three-month notice period. Catherine does not take part in any salary sacrifice schemes. Her employer exercises a PILON clause in her contract and dismisses her without notice, making a payment of £30,000. Additionally, the employer makes an ex gratia payment of £10,000. </w:t>
                      </w:r>
                    </w:p>
                    <w:p w:rsidR="003F6CB1" w:rsidRDefault="003F6CB1" w:rsidP="003F6CB1"/>
                    <w:p w:rsidR="003F6CB1" w:rsidRDefault="003F6CB1" w:rsidP="003F6CB1">
                      <w:r w:rsidRPr="00E8551C">
                        <w:t>BP</w:t>
                      </w:r>
                      <w:r>
                        <w:t xml:space="preserve"> (10,000)</w:t>
                      </w:r>
                      <w:r w:rsidRPr="00E8551C">
                        <w:t xml:space="preserve"> x D </w:t>
                      </w:r>
                      <w:r>
                        <w:t>(3) – T (£30,000) = 0</w:t>
                      </w:r>
                    </w:p>
                    <w:p w:rsidR="003F6CB1" w:rsidRDefault="003F6CB1" w:rsidP="003F6CB1">
                      <w:r>
                        <w:t>PENP is nil as the contractual PILON effectively ‘cancels out’ the PENP payment. The ex gratia payment of £10,000 is taxable under s403 ITEPA, but can be paid tax free as it falls within the £30,000 exemption.</w:t>
                      </w:r>
                    </w:p>
                    <w:p w:rsidR="003F6CB1" w:rsidRDefault="003F6CB1" w:rsidP="003F6CB1"/>
                    <w:p w:rsidR="003F6CB1" w:rsidRDefault="003F6CB1" w:rsidP="003F6CB1"/>
                  </w:txbxContent>
                </v:textbox>
                <w10:wrap type="square"/>
              </v:shape>
            </w:pict>
          </mc:Fallback>
        </mc:AlternateContent>
      </w:r>
      <w:r w:rsidR="003F6CB1">
        <w:rPr>
          <w:noProof/>
          <w:lang w:eastAsia="en-GB"/>
        </w:rPr>
        <mc:AlternateContent>
          <mc:Choice Requires="wps">
            <w:drawing>
              <wp:anchor distT="45720" distB="45720" distL="114300" distR="114300" simplePos="0" relativeHeight="251660288" behindDoc="0" locked="0" layoutInCell="1" allowOverlap="1" wp14:anchorId="16A26017" wp14:editId="6E4D1D35">
                <wp:simplePos x="0" y="0"/>
                <wp:positionH relativeFrom="margin">
                  <wp:posOffset>-137160</wp:posOffset>
                </wp:positionH>
                <wp:positionV relativeFrom="paragraph">
                  <wp:posOffset>0</wp:posOffset>
                </wp:positionV>
                <wp:extent cx="5989955" cy="4872990"/>
                <wp:effectExtent l="0" t="0" r="10795"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4872990"/>
                        </a:xfrm>
                        <a:prstGeom prst="rect">
                          <a:avLst/>
                        </a:prstGeom>
                        <a:solidFill>
                          <a:srgbClr val="FFFFFF"/>
                        </a:solidFill>
                        <a:ln w="19050">
                          <a:solidFill>
                            <a:srgbClr val="000000"/>
                          </a:solidFill>
                          <a:miter lim="800000"/>
                          <a:headEnd/>
                          <a:tailEnd/>
                        </a:ln>
                      </wps:spPr>
                      <wps:txbx>
                        <w:txbxContent>
                          <w:p w14:paraId="13F1B8A2" w14:textId="77777777" w:rsidR="003F6CB1" w:rsidRDefault="003F6CB1" w:rsidP="003F6CB1">
                            <w:pPr>
                              <w:rPr>
                                <w:b/>
                              </w:rPr>
                            </w:pPr>
                            <w:r w:rsidRPr="001E6FF2">
                              <w:rPr>
                                <w:b/>
                              </w:rPr>
                              <w:t>Example 2</w:t>
                            </w:r>
                            <w:r>
                              <w:rPr>
                                <w:b/>
                              </w:rPr>
                              <w:t xml:space="preserve">: Standard Formula: Ben </w:t>
                            </w:r>
                          </w:p>
                          <w:p w14:paraId="3B44CE82" w14:textId="77777777" w:rsidR="003F6CB1" w:rsidRDefault="003F6CB1" w:rsidP="003F6CB1">
                            <w:pPr>
                              <w:rPr>
                                <w:b/>
                              </w:rPr>
                            </w:pPr>
                          </w:p>
                          <w:p w14:paraId="59B318C8" w14:textId="77777777" w:rsidR="003F6CB1" w:rsidRPr="00F71BFD" w:rsidRDefault="003F6CB1" w:rsidP="003F6CB1">
                            <w:pPr>
                              <w:rPr>
                                <w:b/>
                              </w:rPr>
                            </w:pPr>
                            <w:r w:rsidRPr="00F71BFD">
                              <w:rPr>
                                <w:b/>
                              </w:rPr>
                              <w:t xml:space="preserve">Ben receives £3,000 per month basic pay (including any sums paid out in salary sacrifice). His contractual notice period is three months. There is no PILON clause in his contract. Ben is offered a settlement agreement to leave his employment. His employer proposes to make a settlement payment of £30,000. </w:t>
                            </w:r>
                            <w:r>
                              <w:rPr>
                                <w:b/>
                              </w:rPr>
                              <w:t>Ben is paid on the last day of June. His notice period begins on 1 July. He serves 17 days of his 3-</w:t>
                            </w:r>
                            <w:r w:rsidRPr="00F71BFD">
                              <w:rPr>
                                <w:b/>
                              </w:rPr>
                              <w:t>month notice period. What portion of this payment must be carved out and subject to tax under the PENP rules?</w:t>
                            </w:r>
                          </w:p>
                          <w:p w14:paraId="46CA9C67" w14:textId="77777777" w:rsidR="003F6CB1" w:rsidRDefault="003F6CB1" w:rsidP="003F6CB1"/>
                          <w:p w14:paraId="65DEFCE6" w14:textId="77777777" w:rsidR="003F6CB1" w:rsidRDefault="003F6CB1" w:rsidP="003F6CB1">
                            <w:r>
                              <w:t xml:space="preserve">Here the unserved portion of the notice period is expressed in days </w:t>
                            </w:r>
                            <w:r w:rsidR="00C01B0C">
                              <w:t>(rather than months) so the</w:t>
                            </w:r>
                            <w:r>
                              <w:t xml:space="preserve"> standard formula must be used. </w:t>
                            </w:r>
                          </w:p>
                          <w:p w14:paraId="3698E975" w14:textId="77777777" w:rsidR="003F6CB1" w:rsidRDefault="003F6CB1" w:rsidP="003F6CB1"/>
                          <w:p w14:paraId="2341088B" w14:textId="77777777" w:rsidR="003F6CB1" w:rsidRDefault="003F6CB1" w:rsidP="003F6CB1">
                            <w:r>
                              <w:t>BP = £3,000</w:t>
                            </w:r>
                          </w:p>
                          <w:p w14:paraId="10F18A93" w14:textId="77777777" w:rsidR="003F6CB1" w:rsidRPr="00F71BFD" w:rsidRDefault="003F6CB1" w:rsidP="003F6CB1">
                            <w:r>
                              <w:t xml:space="preserve">D = 75 days: This is the unserved portion of the notice period. Ben’s 3-month notice period has </w:t>
                            </w:r>
                            <w:r w:rsidRPr="00181E5C">
                              <w:rPr>
                                <w:b/>
                              </w:rPr>
                              <w:t>92 days</w:t>
                            </w:r>
                            <w:r>
                              <w:t xml:space="preserve"> (31 days in July + 31 days in August + 30 days in September). 92 days -17 days served notice = </w:t>
                            </w:r>
                            <w:r w:rsidRPr="005B402B">
                              <w:rPr>
                                <w:b/>
                              </w:rPr>
                              <w:t>75 days</w:t>
                            </w:r>
                            <w:r>
                              <w:t>).</w:t>
                            </w:r>
                          </w:p>
                          <w:p w14:paraId="1D5DE738" w14:textId="77777777" w:rsidR="003F6CB1" w:rsidRDefault="003F6CB1" w:rsidP="003F6CB1">
                            <w:r>
                              <w:t xml:space="preserve">P = 30.42 days (following a recent change is legislation, P will now </w:t>
                            </w:r>
                            <w:r w:rsidRPr="0030461F">
                              <w:rPr>
                                <w:b/>
                              </w:rPr>
                              <w:t>always</w:t>
                            </w:r>
                            <w:r>
                              <w:t xml:space="preserve"> </w:t>
                            </w:r>
                            <w:r w:rsidR="00C01B0C">
                              <w:t xml:space="preserve">be </w:t>
                            </w:r>
                            <w:r>
                              <w:t>represent</w:t>
                            </w:r>
                            <w:r w:rsidR="00C01B0C">
                              <w:t xml:space="preserve">ed by </w:t>
                            </w:r>
                            <w:r w:rsidRPr="00C01B0C">
                              <w:rPr>
                                <w:b/>
                              </w:rPr>
                              <w:t>30.42</w:t>
                            </w:r>
                            <w:r>
                              <w:t xml:space="preserve"> – the average number of days in a calendar month.) </w:t>
                            </w:r>
                          </w:p>
                          <w:p w14:paraId="367C2390" w14:textId="77777777" w:rsidR="003F6CB1" w:rsidRDefault="003F6CB1" w:rsidP="003F6CB1">
                            <w:r>
                              <w:t>T = Nil (there is no contractual PILON or other taxable payment being made on termination)</w:t>
                            </w:r>
                          </w:p>
                          <w:p w14:paraId="536D2B72" w14:textId="77777777" w:rsidR="003F6CB1" w:rsidRDefault="003F6CB1" w:rsidP="003F6CB1">
                            <w:r>
                              <w:t xml:space="preserve">(3000 x 75/30.42) – 0 = </w:t>
                            </w:r>
                            <w:r w:rsidRPr="000175D9">
                              <w:rPr>
                                <w:b/>
                              </w:rPr>
                              <w:t>£7,</w:t>
                            </w:r>
                            <w:r>
                              <w:rPr>
                                <w:b/>
                              </w:rPr>
                              <w:t>396</w:t>
                            </w:r>
                            <w:r w:rsidRPr="000175D9">
                              <w:rPr>
                                <w:b/>
                              </w:rPr>
                              <w:t>.</w:t>
                            </w:r>
                            <w:r>
                              <w:t xml:space="preserve"> </w:t>
                            </w:r>
                          </w:p>
                          <w:p w14:paraId="1E288FFB" w14:textId="77777777" w:rsidR="003F6CB1" w:rsidRDefault="003F6CB1" w:rsidP="003F6CB1"/>
                          <w:p w14:paraId="15284250" w14:textId="77777777" w:rsidR="003F6CB1" w:rsidRDefault="003F6CB1" w:rsidP="003F6CB1">
                            <w:r w:rsidRPr="00D100EB">
                              <w:t>The</w:t>
                            </w:r>
                            <w:r>
                              <w:rPr>
                                <w:b/>
                              </w:rPr>
                              <w:t xml:space="preserve"> PENP </w:t>
                            </w:r>
                            <w:r>
                              <w:t xml:space="preserve">payment is </w:t>
                            </w:r>
                            <w:r>
                              <w:rPr>
                                <w:b/>
                              </w:rPr>
                              <w:t xml:space="preserve">£7,396 </w:t>
                            </w:r>
                            <w:r>
                              <w:t xml:space="preserve">and will be subject to tax. The balance of </w:t>
                            </w:r>
                            <w:r>
                              <w:rPr>
                                <w:b/>
                              </w:rPr>
                              <w:t>£22,604</w:t>
                            </w:r>
                            <w:r>
                              <w:t xml:space="preserve"> (£30,000-£7,396) is taxable under s403 ITEPA, but can be paid tax free as it falls within the £30,000 exemption. </w:t>
                            </w:r>
                          </w:p>
                          <w:p w14:paraId="4484BE65" w14:textId="77777777" w:rsidR="003F6CB1" w:rsidRDefault="003F6CB1" w:rsidP="003F6CB1"/>
                          <w:p w14:paraId="3388FF89" w14:textId="77777777" w:rsidR="003F6CB1" w:rsidRDefault="003F6CB1" w:rsidP="003F6CB1"/>
                          <w:p w14:paraId="29BFF241" w14:textId="77777777" w:rsidR="003F6CB1" w:rsidRPr="00D100EB" w:rsidRDefault="003F6CB1" w:rsidP="003F6CB1"/>
                          <w:p w14:paraId="43BD6607" w14:textId="77777777" w:rsidR="003F6CB1" w:rsidRPr="00D100EB" w:rsidRDefault="003F6CB1" w:rsidP="003F6CB1"/>
                          <w:p w14:paraId="54000025" w14:textId="77777777" w:rsidR="003F6CB1" w:rsidRDefault="003F6CB1" w:rsidP="003F6CB1"/>
                          <w:p w14:paraId="1F1270F9" w14:textId="77777777" w:rsidR="003F6CB1" w:rsidRDefault="003F6CB1" w:rsidP="003F6CB1"/>
                          <w:p w14:paraId="2184B8A8" w14:textId="77777777" w:rsidR="003F6CB1" w:rsidRPr="00AE3FF3" w:rsidRDefault="003F6CB1" w:rsidP="003F6CB1"/>
                          <w:p w14:paraId="7BACC158" w14:textId="77777777" w:rsidR="003F6CB1" w:rsidRDefault="003F6CB1" w:rsidP="003F6CB1"/>
                          <w:p w14:paraId="2D8255A4" w14:textId="77777777" w:rsidR="003F6CB1" w:rsidRDefault="003F6CB1" w:rsidP="003F6CB1"/>
                          <w:p w14:paraId="7C1C340A" w14:textId="77777777" w:rsidR="003F6CB1" w:rsidRPr="00454EAD" w:rsidRDefault="003F6CB1" w:rsidP="003F6CB1"/>
                          <w:p w14:paraId="61055E10" w14:textId="77777777" w:rsidR="003F6CB1" w:rsidRDefault="003F6CB1" w:rsidP="003F6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D80E1" id="_x0000_s1028" type="#_x0000_t202" style="position:absolute;margin-left:-10.8pt;margin-top:0;width:471.65pt;height:383.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RGJwIAAE0EAAAOAAAAZHJzL2Uyb0RvYy54bWysVNuO0zAQfUfiHyy/06SlZZu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" strokeweight="1.5pt">
                <v:textbox>
                  <w:txbxContent>
                    <w:p w:rsidR="003F6CB1" w:rsidRDefault="003F6CB1" w:rsidP="003F6CB1">
                      <w:pPr>
                        <w:rPr>
                          <w:b/>
                        </w:rPr>
                      </w:pPr>
                      <w:r w:rsidRPr="001E6FF2">
                        <w:rPr>
                          <w:b/>
                        </w:rPr>
                        <w:t>Example 2</w:t>
                      </w:r>
                      <w:r>
                        <w:rPr>
                          <w:b/>
                        </w:rPr>
                        <w:t xml:space="preserve">: Standard Formula: Ben </w:t>
                      </w:r>
                    </w:p>
                    <w:p w:rsidR="003F6CB1" w:rsidRDefault="003F6CB1" w:rsidP="003F6CB1">
                      <w:pPr>
                        <w:rPr>
                          <w:b/>
                        </w:rPr>
                      </w:pPr>
                    </w:p>
                    <w:p w:rsidR="003F6CB1" w:rsidRPr="00F71BFD" w:rsidRDefault="003F6CB1" w:rsidP="003F6CB1">
                      <w:pPr>
                        <w:rPr>
                          <w:b/>
                        </w:rPr>
                      </w:pPr>
                      <w:r w:rsidRPr="00F71BFD">
                        <w:rPr>
                          <w:b/>
                        </w:rPr>
                        <w:t xml:space="preserve">Ben receives £3,000 per month basic pay (including any sums paid out in salary sacrifice). His contractual notice period is three months. There is no PILON clause in his contract. Ben is offered a settlement agreement to leave his employment. His employer proposes to make a settlement payment of £30,000. </w:t>
                      </w:r>
                      <w:r>
                        <w:rPr>
                          <w:b/>
                        </w:rPr>
                        <w:t>Ben is paid on the last day of June. His notice period begins on 1 July. He serves 17 days of his 3-</w:t>
                      </w:r>
                      <w:r w:rsidRPr="00F71BFD">
                        <w:rPr>
                          <w:b/>
                        </w:rPr>
                        <w:t>month notice period. What portion of this payment must be carved out and subject to tax under the PENP rules?</w:t>
                      </w:r>
                    </w:p>
                    <w:p w:rsidR="003F6CB1" w:rsidRDefault="003F6CB1" w:rsidP="003F6CB1"/>
                    <w:p w:rsidR="003F6CB1" w:rsidRDefault="003F6CB1" w:rsidP="003F6CB1">
                      <w:r>
                        <w:t xml:space="preserve">Here the unserved portion of the notice period is expressed in days </w:t>
                      </w:r>
                      <w:r w:rsidR="00C01B0C">
                        <w:t>(rather than months) so the</w:t>
                      </w:r>
                      <w:r>
                        <w:t xml:space="preserve"> standard formula must be used. </w:t>
                      </w:r>
                    </w:p>
                    <w:p w:rsidR="003F6CB1" w:rsidRDefault="003F6CB1" w:rsidP="003F6CB1"/>
                    <w:p w:rsidR="003F6CB1" w:rsidRDefault="003F6CB1" w:rsidP="003F6CB1">
                      <w:r>
                        <w:t>BP = £3,000</w:t>
                      </w:r>
                    </w:p>
                    <w:p w:rsidR="003F6CB1" w:rsidRPr="00F71BFD" w:rsidRDefault="003F6CB1" w:rsidP="003F6CB1">
                      <w:r>
                        <w:t xml:space="preserve">D = 75 days: This is the unserved portion of the notice period. Ben’s 3-month notice period has </w:t>
                      </w:r>
                      <w:r w:rsidRPr="00181E5C">
                        <w:rPr>
                          <w:b/>
                        </w:rPr>
                        <w:t>92 days</w:t>
                      </w:r>
                      <w:r>
                        <w:t xml:space="preserve"> (31 days in July + 31 days in August + 30 days in September). 92 days -17 days served notice = </w:t>
                      </w:r>
                      <w:r w:rsidRPr="005B402B">
                        <w:rPr>
                          <w:b/>
                        </w:rPr>
                        <w:t>75 days</w:t>
                      </w:r>
                      <w:r>
                        <w:t>).</w:t>
                      </w:r>
                    </w:p>
                    <w:p w:rsidR="003F6CB1" w:rsidRDefault="003F6CB1" w:rsidP="003F6CB1">
                      <w:r>
                        <w:t xml:space="preserve">P = 30.42 days (following a recent change is legislation, P will now </w:t>
                      </w:r>
                      <w:r w:rsidRPr="0030461F">
                        <w:rPr>
                          <w:b/>
                        </w:rPr>
                        <w:t>always</w:t>
                      </w:r>
                      <w:r>
                        <w:t xml:space="preserve"> </w:t>
                      </w:r>
                      <w:r w:rsidR="00C01B0C">
                        <w:t xml:space="preserve">be </w:t>
                      </w:r>
                      <w:r>
                        <w:t>represent</w:t>
                      </w:r>
                      <w:r w:rsidR="00C01B0C">
                        <w:t xml:space="preserve">ed by </w:t>
                      </w:r>
                      <w:bookmarkStart w:id="2" w:name="_GoBack"/>
                      <w:bookmarkEnd w:id="2"/>
                      <w:r w:rsidRPr="00C01B0C">
                        <w:rPr>
                          <w:b/>
                        </w:rPr>
                        <w:t>30.42</w:t>
                      </w:r>
                      <w:r>
                        <w:t xml:space="preserve"> – the average number of days in a calendar month.) </w:t>
                      </w:r>
                    </w:p>
                    <w:p w:rsidR="003F6CB1" w:rsidRDefault="003F6CB1" w:rsidP="003F6CB1">
                      <w:r>
                        <w:t>T = Nil (there is no contractual PILON or other taxable payment being made on termination)</w:t>
                      </w:r>
                    </w:p>
                    <w:p w:rsidR="003F6CB1" w:rsidRDefault="003F6CB1" w:rsidP="003F6CB1">
                      <w:r>
                        <w:t xml:space="preserve">(3000 x 75/30.42) – 0 = </w:t>
                      </w:r>
                      <w:r w:rsidRPr="000175D9">
                        <w:rPr>
                          <w:b/>
                        </w:rPr>
                        <w:t>£7,</w:t>
                      </w:r>
                      <w:r>
                        <w:rPr>
                          <w:b/>
                        </w:rPr>
                        <w:t>396</w:t>
                      </w:r>
                      <w:r w:rsidRPr="000175D9">
                        <w:rPr>
                          <w:b/>
                        </w:rPr>
                        <w:t>.</w:t>
                      </w:r>
                      <w:r>
                        <w:t xml:space="preserve"> </w:t>
                      </w:r>
                    </w:p>
                    <w:p w:rsidR="003F6CB1" w:rsidRDefault="003F6CB1" w:rsidP="003F6CB1"/>
                    <w:p w:rsidR="003F6CB1" w:rsidRDefault="003F6CB1" w:rsidP="003F6CB1">
                      <w:r w:rsidRPr="00D100EB">
                        <w:t>The</w:t>
                      </w:r>
                      <w:r>
                        <w:rPr>
                          <w:b/>
                        </w:rPr>
                        <w:t xml:space="preserve"> PENP </w:t>
                      </w:r>
                      <w:r>
                        <w:t xml:space="preserve">payment is </w:t>
                      </w:r>
                      <w:r>
                        <w:rPr>
                          <w:b/>
                        </w:rPr>
                        <w:t xml:space="preserve">£7,396 </w:t>
                      </w:r>
                      <w:r>
                        <w:t xml:space="preserve">and will be subject to tax. The balance of </w:t>
                      </w:r>
                      <w:r>
                        <w:rPr>
                          <w:b/>
                        </w:rPr>
                        <w:t>£22,604</w:t>
                      </w:r>
                      <w:r>
                        <w:t xml:space="preserve"> (£30,000-£7,396) is taxable under s403 ITEPA, but can be paid tax free as it falls within the £30,000 exemption. </w:t>
                      </w:r>
                    </w:p>
                    <w:p w:rsidR="003F6CB1" w:rsidRDefault="003F6CB1" w:rsidP="003F6CB1"/>
                    <w:p w:rsidR="003F6CB1" w:rsidRDefault="003F6CB1" w:rsidP="003F6CB1"/>
                    <w:p w:rsidR="003F6CB1" w:rsidRPr="00D100EB" w:rsidRDefault="003F6CB1" w:rsidP="003F6CB1"/>
                    <w:p w:rsidR="003F6CB1" w:rsidRPr="00D100EB" w:rsidRDefault="003F6CB1" w:rsidP="003F6CB1"/>
                    <w:p w:rsidR="003F6CB1" w:rsidRDefault="003F6CB1" w:rsidP="003F6CB1"/>
                    <w:p w:rsidR="003F6CB1" w:rsidRDefault="003F6CB1" w:rsidP="003F6CB1"/>
                    <w:p w:rsidR="003F6CB1" w:rsidRPr="00AE3FF3" w:rsidRDefault="003F6CB1" w:rsidP="003F6CB1"/>
                    <w:p w:rsidR="003F6CB1" w:rsidRDefault="003F6CB1" w:rsidP="003F6CB1"/>
                    <w:p w:rsidR="003F6CB1" w:rsidRDefault="003F6CB1" w:rsidP="003F6CB1"/>
                    <w:p w:rsidR="003F6CB1" w:rsidRPr="00454EAD" w:rsidRDefault="003F6CB1" w:rsidP="003F6CB1"/>
                    <w:p w:rsidR="003F6CB1" w:rsidRDefault="003F6CB1" w:rsidP="003F6CB1"/>
                  </w:txbxContent>
                </v:textbox>
                <w10:wrap type="square" anchorx="margin"/>
              </v:shape>
            </w:pict>
          </mc:Fallback>
        </mc:AlternateContent>
      </w:r>
    </w:p>
    <w:p w14:paraId="2F72F087" w14:textId="77777777" w:rsidR="003F6CB1" w:rsidRDefault="003F6CB1" w:rsidP="003F6CB1">
      <w:pPr>
        <w:rPr>
          <w:b/>
        </w:rPr>
      </w:pPr>
    </w:p>
    <w:p w14:paraId="6782482D" w14:textId="77777777" w:rsidR="003F6CB1" w:rsidRDefault="003F6CB1" w:rsidP="003F6CB1">
      <w:pPr>
        <w:rPr>
          <w:b/>
        </w:rPr>
      </w:pPr>
    </w:p>
    <w:p w14:paraId="0C17DE16" w14:textId="77777777" w:rsidR="003F6CB1" w:rsidRDefault="003F6CB1" w:rsidP="003F6CB1">
      <w:pPr>
        <w:rPr>
          <w:b/>
        </w:rPr>
      </w:pPr>
    </w:p>
    <w:p w14:paraId="0AAFAF83" w14:textId="77777777" w:rsidR="003F6CB1" w:rsidRDefault="003F6CB1" w:rsidP="003F6CB1">
      <w:pPr>
        <w:rPr>
          <w:b/>
        </w:rPr>
      </w:pPr>
    </w:p>
    <w:p w14:paraId="10ECECF0" w14:textId="77777777" w:rsidR="003F6CB1" w:rsidRDefault="003F6CB1" w:rsidP="003F6CB1">
      <w:pPr>
        <w:rPr>
          <w:b/>
        </w:rPr>
      </w:pPr>
    </w:p>
    <w:p w14:paraId="6C4A7D70" w14:textId="77777777" w:rsidR="003F6CB1" w:rsidRDefault="003F6CB1" w:rsidP="003F6CB1">
      <w:pPr>
        <w:rPr>
          <w:b/>
        </w:rPr>
      </w:pPr>
    </w:p>
    <w:p w14:paraId="00BB321E" w14:textId="77777777" w:rsidR="003F6CB1" w:rsidRDefault="003F6CB1" w:rsidP="003F6CB1">
      <w:pPr>
        <w:rPr>
          <w:b/>
        </w:rPr>
      </w:pPr>
      <w:r>
        <w:rPr>
          <w:noProof/>
          <w:lang w:eastAsia="en-GB"/>
        </w:rPr>
        <mc:AlternateContent>
          <mc:Choice Requires="wps">
            <w:drawing>
              <wp:anchor distT="0" distB="0" distL="114300" distR="114300" simplePos="0" relativeHeight="251662336" behindDoc="0" locked="0" layoutInCell="1" allowOverlap="1" wp14:anchorId="1F6665B4" wp14:editId="36587026">
                <wp:simplePos x="0" y="0"/>
                <wp:positionH relativeFrom="margin">
                  <wp:posOffset>-65704</wp:posOffset>
                </wp:positionH>
                <wp:positionV relativeFrom="paragraph">
                  <wp:posOffset>0</wp:posOffset>
                </wp:positionV>
                <wp:extent cx="5940862" cy="2737725"/>
                <wp:effectExtent l="0" t="0" r="22225" b="24765"/>
                <wp:wrapNone/>
                <wp:docPr id="15" name="Text Box 15"/>
                <wp:cNvGraphicFramePr/>
                <a:graphic xmlns:a="http://schemas.openxmlformats.org/drawingml/2006/main">
                  <a:graphicData uri="http://schemas.microsoft.com/office/word/2010/wordprocessingShape">
                    <wps:wsp>
                      <wps:cNvSpPr txBox="1"/>
                      <wps:spPr>
                        <a:xfrm>
                          <a:off x="0" y="0"/>
                          <a:ext cx="5940862" cy="2737725"/>
                        </a:xfrm>
                        <a:prstGeom prst="rect">
                          <a:avLst/>
                        </a:prstGeom>
                        <a:solidFill>
                          <a:schemeClr val="lt1"/>
                        </a:solidFill>
                        <a:ln w="19050">
                          <a:solidFill>
                            <a:prstClr val="black"/>
                          </a:solidFill>
                        </a:ln>
                      </wps:spPr>
                      <wps:txbx>
                        <w:txbxContent>
                          <w:p w14:paraId="7D46D40E" w14:textId="77777777" w:rsidR="003F6CB1" w:rsidRDefault="003F6CB1" w:rsidP="003F6CB1">
                            <w:pPr>
                              <w:rPr>
                                <w:b/>
                              </w:rPr>
                            </w:pPr>
                            <w:r w:rsidRPr="00E8551C">
                              <w:rPr>
                                <w:b/>
                              </w:rPr>
                              <w:t xml:space="preserve">Example 4: Diana </w:t>
                            </w:r>
                          </w:p>
                          <w:p w14:paraId="214212F3" w14:textId="77777777" w:rsidR="003F6CB1" w:rsidRPr="00E8551C" w:rsidRDefault="003F6CB1" w:rsidP="003F6CB1">
                            <w:pPr>
                              <w:rPr>
                                <w:b/>
                              </w:rPr>
                            </w:pPr>
                            <w:r>
                              <w:rPr>
                                <w:b/>
                              </w:rPr>
                              <w:t xml:space="preserve">Catherine’s colleague Diana leaves the business at the same time as Catherine. Diana is a slightly higher earner than Catherine and receives £12,000 per </w:t>
                            </w:r>
                            <w:r w:rsidR="00C01B0C">
                              <w:rPr>
                                <w:b/>
                              </w:rPr>
                              <w:t>month. Like Catherine, she receives</w:t>
                            </w:r>
                            <w:r>
                              <w:rPr>
                                <w:b/>
                              </w:rPr>
                              <w:t xml:space="preserve"> £10,000 per month.  However, she sacrifices an additional £2,000 to pay for childcare vouchers and an annual travel pass. Diana is also dismissed without notice and receives a payment of £30,000 in lieu of three months’ notice. Her employer also makes an ex-gratia payment of £10,000. </w:t>
                            </w:r>
                          </w:p>
                          <w:p w14:paraId="7EDDC379" w14:textId="77777777" w:rsidR="003F6CB1" w:rsidRDefault="003F6CB1" w:rsidP="003F6CB1">
                            <w:pPr>
                              <w:rPr>
                                <w:b/>
                              </w:rPr>
                            </w:pPr>
                            <w:r>
                              <w:t xml:space="preserve">BP (12,000) x D (3) –T (30,000) = </w:t>
                            </w:r>
                            <w:r>
                              <w:rPr>
                                <w:b/>
                              </w:rPr>
                              <w:t>£6,000</w:t>
                            </w:r>
                          </w:p>
                          <w:p w14:paraId="1CA0F8F0" w14:textId="77777777" w:rsidR="003F6CB1" w:rsidRDefault="003F6CB1" w:rsidP="003F6CB1">
                            <w:pPr>
                              <w:rPr>
                                <w:b/>
                              </w:rPr>
                            </w:pPr>
                          </w:p>
                          <w:p w14:paraId="667ACBF4" w14:textId="77777777" w:rsidR="003F6CB1" w:rsidRDefault="003F6CB1" w:rsidP="003F6CB1">
                            <w:r w:rsidRPr="00D71A79">
                              <w:t xml:space="preserve">PENP is </w:t>
                            </w:r>
                            <w:r>
                              <w:rPr>
                                <w:b/>
                              </w:rPr>
                              <w:t xml:space="preserve">£6,000 </w:t>
                            </w:r>
                            <w:r>
                              <w:t xml:space="preserve">and will be subject to tax. The balance of </w:t>
                            </w:r>
                            <w:r>
                              <w:rPr>
                                <w:b/>
                              </w:rPr>
                              <w:t xml:space="preserve">£4,000 </w:t>
                            </w:r>
                            <w:r>
                              <w:t>(£10,000 ex gratia payment -£6,000) is taxable under s403 ITEPA, but can be paid tax free as it falls within the £30,000 exemption.</w:t>
                            </w:r>
                          </w:p>
                          <w:p w14:paraId="0FEF3566" w14:textId="77777777" w:rsidR="003F6CB1" w:rsidRDefault="003F6CB1" w:rsidP="003F6CB1">
                            <w:r>
                              <w:t xml:space="preserve">Here, ‘basic pay’ for the purposes of the PENP calculation is greater than ‘basic pay’ for the purposes of working out the contractual PILON payment, as the former </w:t>
                            </w:r>
                            <w:r w:rsidRPr="00A60510">
                              <w:rPr>
                                <w:b/>
                              </w:rPr>
                              <w:t>includes sacrificed salary</w:t>
                            </w:r>
                            <w:r>
                              <w:t xml:space="preserve"> and the latter </w:t>
                            </w:r>
                            <w:r w:rsidRPr="000E598A">
                              <w:rPr>
                                <w:b/>
                              </w:rPr>
                              <w:t>excludes sacrificed salary.</w:t>
                            </w:r>
                            <w:r>
                              <w:t xml:space="preserve"> </w:t>
                            </w:r>
                          </w:p>
                          <w:p w14:paraId="66E030CA" w14:textId="77777777" w:rsidR="003F6CB1" w:rsidRDefault="003F6CB1" w:rsidP="003F6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9D4BB" id="Text Box 15" o:spid="_x0000_s1029" type="#_x0000_t202" style="position:absolute;margin-left:-5.15pt;margin-top:0;width:467.8pt;height:21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" fillcolor="white [3201]" strokeweight="1.5pt">
                <v:textbox>
                  <w:txbxContent>
                    <w:p w:rsidR="003F6CB1" w:rsidRDefault="003F6CB1" w:rsidP="003F6CB1">
                      <w:pPr>
                        <w:rPr>
                          <w:b/>
                        </w:rPr>
                      </w:pPr>
                      <w:r w:rsidRPr="00E8551C">
                        <w:rPr>
                          <w:b/>
                        </w:rPr>
                        <w:t xml:space="preserve">Example 4: Diana </w:t>
                      </w:r>
                    </w:p>
                    <w:p w:rsidR="003F6CB1" w:rsidRPr="00E8551C" w:rsidRDefault="003F6CB1" w:rsidP="003F6CB1">
                      <w:pPr>
                        <w:rPr>
                          <w:b/>
                        </w:rPr>
                      </w:pPr>
                      <w:r>
                        <w:rPr>
                          <w:b/>
                        </w:rPr>
                        <w:t xml:space="preserve">Catherine’s colleague Diana leaves the business at the same time as Catherine. Diana is a slightly higher earner than Catherine and receives £12,000 per </w:t>
                      </w:r>
                      <w:r w:rsidR="00C01B0C">
                        <w:rPr>
                          <w:b/>
                        </w:rPr>
                        <w:t>month. Like Catherine, she receives</w:t>
                      </w:r>
                      <w:r>
                        <w:rPr>
                          <w:b/>
                        </w:rPr>
                        <w:t xml:space="preserve"> £10,000 per month.  However, she sacrifices an additional £2,000 to pay for childcare vouchers and an annual travel pass. Diana is also dismissed without notice and receives a payment of £30,000 in lieu of three months’ notice. Her employer also makes an ex-gratia payment of £10,000. </w:t>
                      </w:r>
                    </w:p>
                    <w:p w:rsidR="003F6CB1" w:rsidRDefault="003F6CB1" w:rsidP="003F6CB1">
                      <w:pPr>
                        <w:rPr>
                          <w:b/>
                        </w:rPr>
                      </w:pPr>
                      <w:r>
                        <w:t xml:space="preserve">BP (12,000) x D (3) –T (30,000) = </w:t>
                      </w:r>
                      <w:r>
                        <w:rPr>
                          <w:b/>
                        </w:rPr>
                        <w:t>£6,000</w:t>
                      </w:r>
                    </w:p>
                    <w:p w:rsidR="003F6CB1" w:rsidRDefault="003F6CB1" w:rsidP="003F6CB1">
                      <w:pPr>
                        <w:rPr>
                          <w:b/>
                        </w:rPr>
                      </w:pPr>
                    </w:p>
                    <w:p w:rsidR="003F6CB1" w:rsidRDefault="003F6CB1" w:rsidP="003F6CB1">
                      <w:r w:rsidRPr="00D71A79">
                        <w:t xml:space="preserve">PENP is </w:t>
                      </w:r>
                      <w:r>
                        <w:rPr>
                          <w:b/>
                        </w:rPr>
                        <w:t xml:space="preserve">£6,000 </w:t>
                      </w:r>
                      <w:r>
                        <w:t xml:space="preserve">and will be subject to tax. The balance of </w:t>
                      </w:r>
                      <w:r>
                        <w:rPr>
                          <w:b/>
                        </w:rPr>
                        <w:t xml:space="preserve">£4,000 </w:t>
                      </w:r>
                      <w:r>
                        <w:t>(£10,000 ex gratia payment -£6,000) is taxable under s403 ITEPA, but can be paid tax free as it falls within the £30,000 exemption.</w:t>
                      </w:r>
                    </w:p>
                    <w:p w:rsidR="003F6CB1" w:rsidRDefault="003F6CB1" w:rsidP="003F6CB1">
                      <w:r>
                        <w:t xml:space="preserve">Here, ‘basic pay’ for the purposes of the PENP calculation is greater than ‘basic pay’ for the purposes of working out the contractual PILON payment, as the former </w:t>
                      </w:r>
                      <w:r w:rsidRPr="00A60510">
                        <w:rPr>
                          <w:b/>
                        </w:rPr>
                        <w:t>includes sacrificed salary</w:t>
                      </w:r>
                      <w:r>
                        <w:t xml:space="preserve"> and the latter </w:t>
                      </w:r>
                      <w:r w:rsidRPr="000E598A">
                        <w:rPr>
                          <w:b/>
                        </w:rPr>
                        <w:t>excludes sacrificed salary.</w:t>
                      </w:r>
                      <w:r>
                        <w:t xml:space="preserve"> </w:t>
                      </w:r>
                    </w:p>
                    <w:p w:rsidR="003F6CB1" w:rsidRDefault="003F6CB1" w:rsidP="003F6CB1"/>
                  </w:txbxContent>
                </v:textbox>
                <w10:wrap anchorx="margin"/>
              </v:shape>
            </w:pict>
          </mc:Fallback>
        </mc:AlternateContent>
      </w:r>
    </w:p>
    <w:p w14:paraId="287E6943" w14:textId="77777777" w:rsidR="003F6CB1" w:rsidRDefault="003F6CB1" w:rsidP="003F6CB1">
      <w:pPr>
        <w:rPr>
          <w:b/>
        </w:rPr>
      </w:pPr>
    </w:p>
    <w:p w14:paraId="14990A4F" w14:textId="77777777" w:rsidR="003F6CB1" w:rsidRDefault="003F6CB1" w:rsidP="003F6CB1"/>
    <w:p w14:paraId="4E2D24F2" w14:textId="77777777" w:rsidR="003F6CB1" w:rsidRDefault="003F6CB1" w:rsidP="003F6CB1">
      <w:pPr>
        <w:rPr>
          <w:b/>
        </w:rPr>
      </w:pPr>
    </w:p>
    <w:p w14:paraId="34EF2880" w14:textId="77777777" w:rsidR="003F6CB1" w:rsidRDefault="003F6CB1" w:rsidP="003F6CB1">
      <w:pPr>
        <w:rPr>
          <w:b/>
        </w:rPr>
      </w:pPr>
    </w:p>
    <w:p w14:paraId="55F18AB8" w14:textId="77777777" w:rsidR="003F6CB1" w:rsidRDefault="003F6CB1" w:rsidP="003F6CB1"/>
    <w:p w14:paraId="2E6394FA" w14:textId="77777777" w:rsidR="003F6CB1" w:rsidRPr="00FA6B5D" w:rsidRDefault="003F6CB1" w:rsidP="003F6CB1"/>
    <w:p w14:paraId="3D571662" w14:textId="77777777" w:rsidR="003F6CB1" w:rsidRPr="000C7FEE" w:rsidRDefault="003F6CB1" w:rsidP="003F6CB1"/>
    <w:p w14:paraId="51028617" w14:textId="77777777" w:rsidR="003F6CB1" w:rsidRPr="00B07550" w:rsidRDefault="003F6CB1" w:rsidP="003F6CB1"/>
    <w:p w14:paraId="68DF0E0C" w14:textId="77777777" w:rsidR="003F6CB1" w:rsidRPr="00B07550" w:rsidRDefault="003F6CB1" w:rsidP="003F6CB1"/>
    <w:p w14:paraId="502ADF90" w14:textId="77777777" w:rsidR="003F6CB1" w:rsidRPr="00B07550" w:rsidRDefault="003F6CB1" w:rsidP="003F6CB1"/>
    <w:p w14:paraId="17CF8529" w14:textId="77777777" w:rsidR="003F6CB1" w:rsidRPr="00B07550" w:rsidRDefault="003F6CB1" w:rsidP="003F6CB1"/>
    <w:p w14:paraId="0F343450" w14:textId="77777777" w:rsidR="003F6CB1" w:rsidRPr="00B07550" w:rsidRDefault="003F6CB1" w:rsidP="003F6CB1"/>
    <w:p w14:paraId="60C7A04D" w14:textId="77777777" w:rsidR="003F6CB1" w:rsidRPr="00B07550" w:rsidRDefault="003F6CB1" w:rsidP="003F6CB1"/>
    <w:p w14:paraId="655D8F80" w14:textId="77777777" w:rsidR="003F6CB1" w:rsidRPr="00FA6B5D" w:rsidRDefault="003F6CB1" w:rsidP="003F6CB1">
      <w:r>
        <w:rPr>
          <w:noProof/>
          <w:lang w:eastAsia="en-GB"/>
        </w:rPr>
        <mc:AlternateContent>
          <mc:Choice Requires="wps">
            <w:drawing>
              <wp:anchor distT="0" distB="0" distL="114300" distR="114300" simplePos="0" relativeHeight="251663360" behindDoc="0" locked="0" layoutInCell="1" allowOverlap="1" wp14:anchorId="79D33FC3" wp14:editId="38421380">
                <wp:simplePos x="0" y="0"/>
                <wp:positionH relativeFrom="column">
                  <wp:posOffset>-76656</wp:posOffset>
                </wp:positionH>
                <wp:positionV relativeFrom="paragraph">
                  <wp:posOffset>140038</wp:posOffset>
                </wp:positionV>
                <wp:extent cx="5951376" cy="3597370"/>
                <wp:effectExtent l="0" t="0" r="11430" b="22225"/>
                <wp:wrapNone/>
                <wp:docPr id="16" name="Text Box 16"/>
                <wp:cNvGraphicFramePr/>
                <a:graphic xmlns:a="http://schemas.openxmlformats.org/drawingml/2006/main">
                  <a:graphicData uri="http://schemas.microsoft.com/office/word/2010/wordprocessingShape">
                    <wps:wsp>
                      <wps:cNvSpPr txBox="1"/>
                      <wps:spPr>
                        <a:xfrm>
                          <a:off x="0" y="0"/>
                          <a:ext cx="5951376" cy="3597370"/>
                        </a:xfrm>
                        <a:prstGeom prst="rect">
                          <a:avLst/>
                        </a:prstGeom>
                        <a:solidFill>
                          <a:schemeClr val="lt1"/>
                        </a:solidFill>
                        <a:ln w="19050">
                          <a:solidFill>
                            <a:prstClr val="black"/>
                          </a:solidFill>
                        </a:ln>
                      </wps:spPr>
                      <wps:txbx>
                        <w:txbxContent>
                          <w:p w14:paraId="7F07F33D" w14:textId="77777777" w:rsidR="003F6CB1" w:rsidRDefault="003F6CB1" w:rsidP="003F6CB1">
                            <w:pPr>
                              <w:rPr>
                                <w:b/>
                              </w:rPr>
                            </w:pPr>
                            <w:r>
                              <w:rPr>
                                <w:b/>
                              </w:rPr>
                              <w:t xml:space="preserve">Example 5: Simplified formula - including statutory redundancy payment: Eleanor </w:t>
                            </w:r>
                          </w:p>
                          <w:p w14:paraId="6F0B6CC9" w14:textId="77777777" w:rsidR="003F6CB1" w:rsidRDefault="003F6CB1" w:rsidP="003F6CB1">
                            <w:pPr>
                              <w:rPr>
                                <w:b/>
                              </w:rPr>
                            </w:pPr>
                          </w:p>
                          <w:p w14:paraId="24593E27" w14:textId="77777777" w:rsidR="003F6CB1" w:rsidRDefault="003F6CB1" w:rsidP="003F6CB1">
                            <w:pPr>
                              <w:rPr>
                                <w:b/>
                              </w:rPr>
                            </w:pPr>
                            <w:r>
                              <w:rPr>
                                <w:b/>
                              </w:rPr>
                              <w:t xml:space="preserve">Eleanor is paid monthly, receiving £3,000 per month basic pay, and has a 3-month notice period. There is no PILON clause in her contract. Eleanor is made redundant but works 1 month of her 3-month notice period. Eleanor receives a redundancy payment from her employer of £11,000. This is comprised of her £1,000 statutory redundancy entitlement, an enhanced redundancy payment of £2,000 and an additional ex gratia payment of £8,000. </w:t>
                            </w:r>
                          </w:p>
                          <w:p w14:paraId="0EB21DA3" w14:textId="77777777" w:rsidR="003F6CB1" w:rsidRDefault="003F6CB1" w:rsidP="003F6CB1">
                            <w:pPr>
                              <w:rPr>
                                <w:b/>
                              </w:rPr>
                            </w:pPr>
                          </w:p>
                          <w:p w14:paraId="6227A3EB" w14:textId="77777777" w:rsidR="003F6CB1" w:rsidRDefault="003F6CB1" w:rsidP="003F6CB1">
                            <w:r>
                              <w:t xml:space="preserve">The </w:t>
                            </w:r>
                            <w:r w:rsidRPr="006F17DB">
                              <w:rPr>
                                <w:b/>
                              </w:rPr>
                              <w:t>statutory</w:t>
                            </w:r>
                            <w:r>
                              <w:t xml:space="preserve"> redundancy payment is </w:t>
                            </w:r>
                            <w:r w:rsidRPr="001F2B60">
                              <w:rPr>
                                <w:b/>
                              </w:rPr>
                              <w:t xml:space="preserve">not </w:t>
                            </w:r>
                            <w:r>
                              <w:t>a ‘relevant termination payment’ and can be paid tax free.</w:t>
                            </w:r>
                          </w:p>
                          <w:p w14:paraId="25C866EF" w14:textId="77777777" w:rsidR="003F6CB1" w:rsidRDefault="003F6CB1" w:rsidP="003F6CB1">
                            <w:r>
                              <w:t xml:space="preserve">Therefore, the ‘relevant termination award’ is </w:t>
                            </w:r>
                            <w:r w:rsidRPr="001F2B60">
                              <w:rPr>
                                <w:b/>
                              </w:rPr>
                              <w:t>£10,000</w:t>
                            </w:r>
                            <w:r>
                              <w:t xml:space="preserve"> (enhanced redundancy payment + ex gratia payment).</w:t>
                            </w:r>
                          </w:p>
                          <w:p w14:paraId="14219C45" w14:textId="77777777" w:rsidR="003F6CB1" w:rsidRDefault="003F6CB1" w:rsidP="003F6CB1"/>
                          <w:p w14:paraId="6874B471" w14:textId="77777777" w:rsidR="003F6CB1" w:rsidRDefault="003F6CB1" w:rsidP="003F6CB1">
                            <w:r>
                              <w:t>BP (£3,000) x D (2) – T (nil) = £6,000</w:t>
                            </w:r>
                          </w:p>
                          <w:p w14:paraId="603B47CA" w14:textId="77777777" w:rsidR="003F6CB1" w:rsidRDefault="003F6CB1" w:rsidP="003F6CB1"/>
                          <w:p w14:paraId="5D3DEA12" w14:textId="77777777" w:rsidR="003F6CB1" w:rsidRDefault="003F6CB1" w:rsidP="003F6CB1">
                            <w:r w:rsidRPr="00D71A79">
                              <w:t xml:space="preserve">PENP is </w:t>
                            </w:r>
                            <w:r>
                              <w:rPr>
                                <w:b/>
                              </w:rPr>
                              <w:t xml:space="preserve">£6,000 </w:t>
                            </w:r>
                            <w:r>
                              <w:t xml:space="preserve">and will be subject to tax. The balance of </w:t>
                            </w:r>
                            <w:r>
                              <w:rPr>
                                <w:b/>
                              </w:rPr>
                              <w:t xml:space="preserve">£4,000 </w:t>
                            </w:r>
                            <w:r>
                              <w:t xml:space="preserve">(£10,000 ex gratia payment -£6,000) is taxable under s403 ITEPA, but can be paid tax free as it falls within the £30,000 exemption. The statutory redundancy payment of </w:t>
                            </w:r>
                            <w:r w:rsidRPr="006F17DB">
                              <w:rPr>
                                <w:b/>
                              </w:rPr>
                              <w:t>£1,000</w:t>
                            </w:r>
                            <w:r>
                              <w:t xml:space="preserve"> can be paid tax free. </w:t>
                            </w:r>
                          </w:p>
                          <w:p w14:paraId="2B499EA4" w14:textId="77777777" w:rsidR="003F6CB1" w:rsidRPr="001F2B60" w:rsidRDefault="003F6CB1" w:rsidP="003F6CB1"/>
                          <w:p w14:paraId="4257B4D9" w14:textId="77777777" w:rsidR="003F6CB1" w:rsidRDefault="003F6CB1" w:rsidP="003F6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201F0" id="Text Box 16" o:spid="_x0000_s1030" type="#_x0000_t202" style="position:absolute;margin-left:-6.05pt;margin-top:11.05pt;width:468.6pt;height:28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" fillcolor="white [3201]" strokeweight="1.5pt">
                <v:textbox>
                  <w:txbxContent>
                    <w:p w:rsidR="003F6CB1" w:rsidRDefault="003F6CB1" w:rsidP="003F6CB1">
                      <w:pPr>
                        <w:rPr>
                          <w:b/>
                        </w:rPr>
                      </w:pPr>
                      <w:r>
                        <w:rPr>
                          <w:b/>
                        </w:rPr>
                        <w:t xml:space="preserve">Example 5: Simplified formula - including statutory redundancy payment: Eleanor </w:t>
                      </w:r>
                    </w:p>
                    <w:p w:rsidR="003F6CB1" w:rsidRDefault="003F6CB1" w:rsidP="003F6CB1">
                      <w:pPr>
                        <w:rPr>
                          <w:b/>
                        </w:rPr>
                      </w:pPr>
                    </w:p>
                    <w:p w:rsidR="003F6CB1" w:rsidRDefault="003F6CB1" w:rsidP="003F6CB1">
                      <w:pPr>
                        <w:rPr>
                          <w:b/>
                        </w:rPr>
                      </w:pPr>
                      <w:r>
                        <w:rPr>
                          <w:b/>
                        </w:rPr>
                        <w:t xml:space="preserve">Eleanor is paid monthly, receiving £3,000 per month basic pay, and has a 3-month notice period. There is no PILON clause in her contract. Eleanor is made redundant but works 1 month of her 3-month notice period. Eleanor receives a redundancy payment from her employer of £11,000. This is comprised of her £1,000 statutory redundancy entitlement, an enhanced redundancy payment of £2,000 and an additional ex gratia payment of £8,000. </w:t>
                      </w:r>
                    </w:p>
                    <w:p w:rsidR="003F6CB1" w:rsidRDefault="003F6CB1" w:rsidP="003F6CB1">
                      <w:pPr>
                        <w:rPr>
                          <w:b/>
                        </w:rPr>
                      </w:pPr>
                    </w:p>
                    <w:p w:rsidR="003F6CB1" w:rsidRDefault="003F6CB1" w:rsidP="003F6CB1">
                      <w:r>
                        <w:t xml:space="preserve">The </w:t>
                      </w:r>
                      <w:r w:rsidRPr="006F17DB">
                        <w:rPr>
                          <w:b/>
                        </w:rPr>
                        <w:t>statutory</w:t>
                      </w:r>
                      <w:r>
                        <w:t xml:space="preserve"> redundancy payment is </w:t>
                      </w:r>
                      <w:r w:rsidRPr="001F2B60">
                        <w:rPr>
                          <w:b/>
                        </w:rPr>
                        <w:t xml:space="preserve">not </w:t>
                      </w:r>
                      <w:r>
                        <w:t>a ‘relevant termination payment’ and can be paid tax free.</w:t>
                      </w:r>
                    </w:p>
                    <w:p w:rsidR="003F6CB1" w:rsidRDefault="003F6CB1" w:rsidP="003F6CB1">
                      <w:r>
                        <w:t xml:space="preserve">Therefore, the ‘relevant termination award’ is </w:t>
                      </w:r>
                      <w:r w:rsidRPr="001F2B60">
                        <w:rPr>
                          <w:b/>
                        </w:rPr>
                        <w:t>£10,000</w:t>
                      </w:r>
                      <w:r>
                        <w:t xml:space="preserve"> (enhanced redundancy payment + ex gratia payment).</w:t>
                      </w:r>
                    </w:p>
                    <w:p w:rsidR="003F6CB1" w:rsidRDefault="003F6CB1" w:rsidP="003F6CB1"/>
                    <w:p w:rsidR="003F6CB1" w:rsidRDefault="003F6CB1" w:rsidP="003F6CB1">
                      <w:r>
                        <w:t>BP (£3,000) x D (2) – T (nil) = £6,000</w:t>
                      </w:r>
                    </w:p>
                    <w:p w:rsidR="003F6CB1" w:rsidRDefault="003F6CB1" w:rsidP="003F6CB1"/>
                    <w:p w:rsidR="003F6CB1" w:rsidRDefault="003F6CB1" w:rsidP="003F6CB1">
                      <w:r w:rsidRPr="00D71A79">
                        <w:t xml:space="preserve">PENP is </w:t>
                      </w:r>
                      <w:r>
                        <w:rPr>
                          <w:b/>
                        </w:rPr>
                        <w:t xml:space="preserve">£6,000 </w:t>
                      </w:r>
                      <w:r>
                        <w:t xml:space="preserve">and will be subject to tax. The balance of </w:t>
                      </w:r>
                      <w:r>
                        <w:rPr>
                          <w:b/>
                        </w:rPr>
                        <w:t xml:space="preserve">£4,000 </w:t>
                      </w:r>
                      <w:r>
                        <w:t xml:space="preserve">(£10,000 ex gratia payment -£6,000) is taxable under s403 ITEPA, but can be paid tax free as it falls within the £30,000 exemption. The statutory redundancy payment of </w:t>
                      </w:r>
                      <w:r w:rsidRPr="006F17DB">
                        <w:rPr>
                          <w:b/>
                        </w:rPr>
                        <w:t>£1,000</w:t>
                      </w:r>
                      <w:r>
                        <w:t xml:space="preserve"> can be paid tax free. </w:t>
                      </w:r>
                    </w:p>
                    <w:p w:rsidR="003F6CB1" w:rsidRPr="001F2B60" w:rsidRDefault="003F6CB1" w:rsidP="003F6CB1"/>
                    <w:p w:rsidR="003F6CB1" w:rsidRDefault="003F6CB1" w:rsidP="003F6CB1"/>
                  </w:txbxContent>
                </v:textbox>
              </v:shape>
            </w:pict>
          </mc:Fallback>
        </mc:AlternateContent>
      </w:r>
    </w:p>
    <w:p w14:paraId="5157000F" w14:textId="77777777" w:rsidR="003F6CB1" w:rsidRPr="000C7FEE" w:rsidRDefault="003F6CB1" w:rsidP="003F6CB1"/>
    <w:p w14:paraId="11AA2222" w14:textId="77777777" w:rsidR="003F6CB1" w:rsidRPr="00B07550" w:rsidRDefault="003F6CB1" w:rsidP="003F6CB1"/>
    <w:p w14:paraId="46EC2E4B" w14:textId="77777777" w:rsidR="003F6CB1" w:rsidRDefault="003F6CB1" w:rsidP="00AE3FF3"/>
    <w:p w14:paraId="6DB8D912" w14:textId="77777777" w:rsidR="00FA6B5D" w:rsidRDefault="00FA6B5D" w:rsidP="00AE3FF3"/>
    <w:p w14:paraId="676C81F8" w14:textId="77777777" w:rsidR="00392C5B" w:rsidRDefault="00392C5B" w:rsidP="00AE3FF3">
      <w:pPr>
        <w:rPr>
          <w:b/>
        </w:rPr>
      </w:pPr>
    </w:p>
    <w:p w14:paraId="48C2FFCE" w14:textId="2512D424" w:rsidR="003345E2" w:rsidRDefault="003345E2">
      <w:pPr>
        <w:spacing w:after="240"/>
        <w:rPr>
          <w:b/>
        </w:rPr>
      </w:pPr>
    </w:p>
    <w:sectPr w:rsidR="003345E2" w:rsidSect="003875F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0B3A" w14:textId="77777777" w:rsidR="00AE3FF3" w:rsidRDefault="00AE3FF3" w:rsidP="00161ACA">
      <w:pPr>
        <w:spacing w:line="240" w:lineRule="auto"/>
      </w:pPr>
      <w:r>
        <w:separator/>
      </w:r>
    </w:p>
  </w:endnote>
  <w:endnote w:type="continuationSeparator" w:id="0">
    <w:p w14:paraId="349D9E3B" w14:textId="77777777" w:rsidR="00AE3FF3" w:rsidRDefault="00AE3FF3"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F27C" w14:textId="77777777" w:rsidR="00AE3FF3" w:rsidRDefault="00AE3FF3" w:rsidP="00161ACA">
      <w:pPr>
        <w:spacing w:line="240" w:lineRule="auto"/>
      </w:pPr>
      <w:r>
        <w:separator/>
      </w:r>
    </w:p>
  </w:footnote>
  <w:footnote w:type="continuationSeparator" w:id="0">
    <w:p w14:paraId="2CBC1297" w14:textId="77777777" w:rsidR="00AE3FF3" w:rsidRDefault="00AE3FF3"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51ED4"/>
    <w:multiLevelType w:val="hybridMultilevel"/>
    <w:tmpl w:val="C0D6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8FC7E7F"/>
    <w:multiLevelType w:val="hybridMultilevel"/>
    <w:tmpl w:val="4DEC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A1144"/>
    <w:multiLevelType w:val="multilevel"/>
    <w:tmpl w:val="C1CC2486"/>
    <w:numStyleLink w:val="Bullets"/>
  </w:abstractNum>
  <w:abstractNum w:abstractNumId="15" w15:restartNumberingAfterBreak="0">
    <w:nsid w:val="383F1058"/>
    <w:multiLevelType w:val="multilevel"/>
    <w:tmpl w:val="59627C7E"/>
    <w:numStyleLink w:val="PartiesNumbering"/>
  </w:abstractNum>
  <w:abstractNum w:abstractNumId="16"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7" w15:restartNumberingAfterBreak="0">
    <w:nsid w:val="3B5576B9"/>
    <w:multiLevelType w:val="multilevel"/>
    <w:tmpl w:val="66402324"/>
    <w:numStyleLink w:val="Definitions"/>
  </w:abstractNum>
  <w:abstractNum w:abstractNumId="18" w15:restartNumberingAfterBreak="0">
    <w:nsid w:val="47460526"/>
    <w:multiLevelType w:val="multilevel"/>
    <w:tmpl w:val="950C5054"/>
    <w:numStyleLink w:val="ScheduleNumbering"/>
  </w:abstractNum>
  <w:abstractNum w:abstractNumId="19" w15:restartNumberingAfterBreak="0">
    <w:nsid w:val="4CA9239F"/>
    <w:multiLevelType w:val="multilevel"/>
    <w:tmpl w:val="FB4C5774"/>
    <w:numStyleLink w:val="Parties"/>
  </w:abstractNum>
  <w:abstractNum w:abstractNumId="20"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1" w15:restartNumberingAfterBreak="0">
    <w:nsid w:val="59DC177A"/>
    <w:multiLevelType w:val="multilevel"/>
    <w:tmpl w:val="950C5054"/>
    <w:numStyleLink w:val="ScheduleNumbering"/>
  </w:abstractNum>
  <w:abstractNum w:abstractNumId="22" w15:restartNumberingAfterBreak="0">
    <w:nsid w:val="5C2F43FA"/>
    <w:multiLevelType w:val="multilevel"/>
    <w:tmpl w:val="950C5054"/>
    <w:numStyleLink w:val="ScheduleNumbering"/>
  </w:abstractNum>
  <w:abstractNum w:abstractNumId="23" w15:restartNumberingAfterBreak="0">
    <w:nsid w:val="5DA24D5E"/>
    <w:multiLevelType w:val="multilevel"/>
    <w:tmpl w:val="249AB59C"/>
    <w:numStyleLink w:val="MainNumbering"/>
  </w:abstractNum>
  <w:abstractNum w:abstractNumId="24"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6" w15:restartNumberingAfterBreak="0">
    <w:nsid w:val="6C26492E"/>
    <w:multiLevelType w:val="multilevel"/>
    <w:tmpl w:val="249AB59C"/>
    <w:numStyleLink w:val="MainNumbering"/>
  </w:abstractNum>
  <w:abstractNum w:abstractNumId="27" w15:restartNumberingAfterBreak="0">
    <w:nsid w:val="6CA9556F"/>
    <w:multiLevelType w:val="multilevel"/>
    <w:tmpl w:val="249AB59C"/>
    <w:numStyleLink w:val="MainNumbering"/>
  </w:abstractNum>
  <w:abstractNum w:abstractNumId="28" w15:restartNumberingAfterBreak="0">
    <w:nsid w:val="7D951D02"/>
    <w:multiLevelType w:val="hybridMultilevel"/>
    <w:tmpl w:val="2BA0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4"/>
  </w:num>
  <w:num w:numId="4">
    <w:abstractNumId w:val="2"/>
  </w:num>
  <w:num w:numId="5">
    <w:abstractNumId w:val="11"/>
  </w:num>
  <w:num w:numId="6">
    <w:abstractNumId w:val="8"/>
  </w:num>
  <w:num w:numId="7">
    <w:abstractNumId w:val="19"/>
  </w:num>
  <w:num w:numId="8">
    <w:abstractNumId w:val="14"/>
  </w:num>
  <w:num w:numId="9">
    <w:abstractNumId w:val="17"/>
  </w:num>
  <w:num w:numId="10">
    <w:abstractNumId w:val="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20"/>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abstractNumId w:val="23"/>
  </w:num>
  <w:num w:numId="16">
    <w:abstractNumId w:val="26"/>
  </w:num>
  <w:num w:numId="17">
    <w:abstractNumId w:val="1"/>
  </w:num>
  <w:num w:numId="18">
    <w:abstractNumId w:val="20"/>
  </w:num>
  <w:num w:numId="19">
    <w:abstractNumId w:val="27"/>
  </w:num>
  <w:num w:numId="20">
    <w:abstractNumId w:val="18"/>
  </w:num>
  <w:num w:numId="21">
    <w:abstractNumId w:val="21"/>
  </w:num>
  <w:num w:numId="22">
    <w:abstractNumId w:val="3"/>
  </w:num>
  <w:num w:numId="23">
    <w:abstractNumId w:val="22"/>
  </w:num>
  <w:num w:numId="24">
    <w:abstractNumId w:val="15"/>
  </w:num>
  <w:num w:numId="25">
    <w:abstractNumId w:val="9"/>
  </w:num>
  <w:num w:numId="26">
    <w:abstractNumId w:val="0"/>
  </w:num>
  <w:num w:numId="27">
    <w:abstractNumId w:val="4"/>
  </w:num>
  <w:num w:numId="28">
    <w:abstractNumId w:val="4"/>
  </w:num>
  <w:num w:numId="29">
    <w:abstractNumId w:val="10"/>
  </w:num>
  <w:num w:numId="30">
    <w:abstractNumId w:val="13"/>
  </w:num>
  <w:num w:numId="3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AE3FF3"/>
    <w:rsid w:val="00000B74"/>
    <w:rsid w:val="00003775"/>
    <w:rsid w:val="00021537"/>
    <w:rsid w:val="000219B8"/>
    <w:rsid w:val="000351A8"/>
    <w:rsid w:val="0003650C"/>
    <w:rsid w:val="00041DE8"/>
    <w:rsid w:val="0005631B"/>
    <w:rsid w:val="000630F4"/>
    <w:rsid w:val="00064EEE"/>
    <w:rsid w:val="00084CA6"/>
    <w:rsid w:val="00087D4D"/>
    <w:rsid w:val="000A5DFA"/>
    <w:rsid w:val="000B4390"/>
    <w:rsid w:val="000B7507"/>
    <w:rsid w:val="000C7FEE"/>
    <w:rsid w:val="000D067A"/>
    <w:rsid w:val="000F76F2"/>
    <w:rsid w:val="00117E34"/>
    <w:rsid w:val="00125CBD"/>
    <w:rsid w:val="0012748D"/>
    <w:rsid w:val="00150D47"/>
    <w:rsid w:val="00155F2D"/>
    <w:rsid w:val="00161ACA"/>
    <w:rsid w:val="001A5D82"/>
    <w:rsid w:val="001B2546"/>
    <w:rsid w:val="001B3067"/>
    <w:rsid w:val="001B6BBE"/>
    <w:rsid w:val="001E68D7"/>
    <w:rsid w:val="00214B28"/>
    <w:rsid w:val="002242D6"/>
    <w:rsid w:val="00271A2D"/>
    <w:rsid w:val="00291AD7"/>
    <w:rsid w:val="002B4437"/>
    <w:rsid w:val="002B4E9A"/>
    <w:rsid w:val="002C397B"/>
    <w:rsid w:val="002C6771"/>
    <w:rsid w:val="002D5C90"/>
    <w:rsid w:val="002E4FEE"/>
    <w:rsid w:val="00314345"/>
    <w:rsid w:val="0032396B"/>
    <w:rsid w:val="003345E2"/>
    <w:rsid w:val="00374FFD"/>
    <w:rsid w:val="00391EA2"/>
    <w:rsid w:val="00392C5B"/>
    <w:rsid w:val="003A7138"/>
    <w:rsid w:val="003D4875"/>
    <w:rsid w:val="003E1477"/>
    <w:rsid w:val="003F6CB1"/>
    <w:rsid w:val="0040201C"/>
    <w:rsid w:val="00402334"/>
    <w:rsid w:val="00413A7A"/>
    <w:rsid w:val="00434110"/>
    <w:rsid w:val="00435487"/>
    <w:rsid w:val="004408FE"/>
    <w:rsid w:val="004419EA"/>
    <w:rsid w:val="00454EAD"/>
    <w:rsid w:val="00461E98"/>
    <w:rsid w:val="00490DC4"/>
    <w:rsid w:val="0049208E"/>
    <w:rsid w:val="00497394"/>
    <w:rsid w:val="004977DC"/>
    <w:rsid w:val="00497FE2"/>
    <w:rsid w:val="004A5120"/>
    <w:rsid w:val="004C7A2C"/>
    <w:rsid w:val="004F6832"/>
    <w:rsid w:val="005051A5"/>
    <w:rsid w:val="0056181F"/>
    <w:rsid w:val="00563FAF"/>
    <w:rsid w:val="00584CED"/>
    <w:rsid w:val="0059703D"/>
    <w:rsid w:val="005F6A91"/>
    <w:rsid w:val="006829FD"/>
    <w:rsid w:val="006A553F"/>
    <w:rsid w:val="006C67EF"/>
    <w:rsid w:val="006C6AA5"/>
    <w:rsid w:val="00702A4E"/>
    <w:rsid w:val="00723BBF"/>
    <w:rsid w:val="00781CFA"/>
    <w:rsid w:val="00795698"/>
    <w:rsid w:val="007A0010"/>
    <w:rsid w:val="007B41A3"/>
    <w:rsid w:val="007B6205"/>
    <w:rsid w:val="007D07A0"/>
    <w:rsid w:val="007D1F61"/>
    <w:rsid w:val="007E5C2C"/>
    <w:rsid w:val="007F2155"/>
    <w:rsid w:val="008062F0"/>
    <w:rsid w:val="008075D6"/>
    <w:rsid w:val="008176ED"/>
    <w:rsid w:val="00823BA9"/>
    <w:rsid w:val="00841CC1"/>
    <w:rsid w:val="00853DED"/>
    <w:rsid w:val="00862B14"/>
    <w:rsid w:val="00866068"/>
    <w:rsid w:val="008755A7"/>
    <w:rsid w:val="00877103"/>
    <w:rsid w:val="00881648"/>
    <w:rsid w:val="008A4F89"/>
    <w:rsid w:val="008C3BDD"/>
    <w:rsid w:val="008E2B84"/>
    <w:rsid w:val="008F3B38"/>
    <w:rsid w:val="00907CE3"/>
    <w:rsid w:val="00912C05"/>
    <w:rsid w:val="00926AF4"/>
    <w:rsid w:val="00950BA5"/>
    <w:rsid w:val="0095186E"/>
    <w:rsid w:val="009525DF"/>
    <w:rsid w:val="00971800"/>
    <w:rsid w:val="00973952"/>
    <w:rsid w:val="00974F92"/>
    <w:rsid w:val="009814BD"/>
    <w:rsid w:val="00984E67"/>
    <w:rsid w:val="009905F2"/>
    <w:rsid w:val="009976E2"/>
    <w:rsid w:val="009A2ABA"/>
    <w:rsid w:val="009C43ED"/>
    <w:rsid w:val="009C4B50"/>
    <w:rsid w:val="009F423A"/>
    <w:rsid w:val="009F7D35"/>
    <w:rsid w:val="00A309A9"/>
    <w:rsid w:val="00A42320"/>
    <w:rsid w:val="00A46A67"/>
    <w:rsid w:val="00A63FFB"/>
    <w:rsid w:val="00A759C1"/>
    <w:rsid w:val="00A818AA"/>
    <w:rsid w:val="00A84728"/>
    <w:rsid w:val="00A91669"/>
    <w:rsid w:val="00A94C2D"/>
    <w:rsid w:val="00AA249B"/>
    <w:rsid w:val="00AB19AD"/>
    <w:rsid w:val="00AB7F0A"/>
    <w:rsid w:val="00AC03F7"/>
    <w:rsid w:val="00AC747A"/>
    <w:rsid w:val="00AE3FF3"/>
    <w:rsid w:val="00AE5F93"/>
    <w:rsid w:val="00AF1E44"/>
    <w:rsid w:val="00AF5FB2"/>
    <w:rsid w:val="00AF783C"/>
    <w:rsid w:val="00B03047"/>
    <w:rsid w:val="00B07550"/>
    <w:rsid w:val="00B243C7"/>
    <w:rsid w:val="00B24719"/>
    <w:rsid w:val="00B345DB"/>
    <w:rsid w:val="00B34FBB"/>
    <w:rsid w:val="00B371A0"/>
    <w:rsid w:val="00B47F1B"/>
    <w:rsid w:val="00B65642"/>
    <w:rsid w:val="00B76E11"/>
    <w:rsid w:val="00B91143"/>
    <w:rsid w:val="00BB1B05"/>
    <w:rsid w:val="00C01B0C"/>
    <w:rsid w:val="00C01DD6"/>
    <w:rsid w:val="00C233FB"/>
    <w:rsid w:val="00C35D64"/>
    <w:rsid w:val="00C36D4E"/>
    <w:rsid w:val="00C40E01"/>
    <w:rsid w:val="00C436D6"/>
    <w:rsid w:val="00C46810"/>
    <w:rsid w:val="00C95CD4"/>
    <w:rsid w:val="00CA5266"/>
    <w:rsid w:val="00CE2C92"/>
    <w:rsid w:val="00D01032"/>
    <w:rsid w:val="00D04C3A"/>
    <w:rsid w:val="00D13433"/>
    <w:rsid w:val="00D1399D"/>
    <w:rsid w:val="00D14E75"/>
    <w:rsid w:val="00D40CD7"/>
    <w:rsid w:val="00D45F1A"/>
    <w:rsid w:val="00D6491F"/>
    <w:rsid w:val="00D704EC"/>
    <w:rsid w:val="00D74F2D"/>
    <w:rsid w:val="00D96250"/>
    <w:rsid w:val="00DE32C8"/>
    <w:rsid w:val="00DE3E51"/>
    <w:rsid w:val="00E13A9C"/>
    <w:rsid w:val="00E30316"/>
    <w:rsid w:val="00E341E1"/>
    <w:rsid w:val="00E342BF"/>
    <w:rsid w:val="00E421A1"/>
    <w:rsid w:val="00E571CF"/>
    <w:rsid w:val="00E80FDF"/>
    <w:rsid w:val="00E843BA"/>
    <w:rsid w:val="00E85B22"/>
    <w:rsid w:val="00E94C8A"/>
    <w:rsid w:val="00E95EC7"/>
    <w:rsid w:val="00EA0D86"/>
    <w:rsid w:val="00EB05CC"/>
    <w:rsid w:val="00EB4768"/>
    <w:rsid w:val="00EC0967"/>
    <w:rsid w:val="00EC5A05"/>
    <w:rsid w:val="00EC5C8B"/>
    <w:rsid w:val="00ED31EE"/>
    <w:rsid w:val="00EF4D66"/>
    <w:rsid w:val="00F23024"/>
    <w:rsid w:val="00F230CF"/>
    <w:rsid w:val="00F4169B"/>
    <w:rsid w:val="00F5056A"/>
    <w:rsid w:val="00F84442"/>
    <w:rsid w:val="00F87BFE"/>
    <w:rsid w:val="00F90EF4"/>
    <w:rsid w:val="00F9323B"/>
    <w:rsid w:val="00FA11AC"/>
    <w:rsid w:val="00FA6B5D"/>
    <w:rsid w:val="00FC1BEC"/>
    <w:rsid w:val="00FC3117"/>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A0B781"/>
  <w15:chartTrackingRefBased/>
  <w15:docId w15:val="{730B60AC-4DE7-4213-9408-ED1D75C8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77103"/>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paragraph" w:styleId="ListParagraph">
    <w:name w:val="List Paragraph"/>
    <w:basedOn w:val="Normal"/>
    <w:uiPriority w:val="59"/>
    <w:rsid w:val="000C7FEE"/>
    <w:pPr>
      <w:ind w:left="720"/>
      <w:contextualSpacing/>
    </w:pPr>
  </w:style>
  <w:style w:type="character" w:styleId="CommentReference">
    <w:name w:val="annotation reference"/>
    <w:basedOn w:val="DefaultParagraphFont"/>
    <w:uiPriority w:val="99"/>
    <w:semiHidden/>
    <w:unhideWhenUsed/>
    <w:rsid w:val="006C67EF"/>
    <w:rPr>
      <w:sz w:val="16"/>
      <w:szCs w:val="16"/>
    </w:rPr>
  </w:style>
  <w:style w:type="paragraph" w:styleId="CommentText">
    <w:name w:val="annotation text"/>
    <w:basedOn w:val="Normal"/>
    <w:link w:val="CommentTextChar"/>
    <w:uiPriority w:val="99"/>
    <w:semiHidden/>
    <w:unhideWhenUsed/>
    <w:rsid w:val="006C67EF"/>
    <w:pPr>
      <w:spacing w:line="240" w:lineRule="auto"/>
    </w:pPr>
    <w:rPr>
      <w:sz w:val="20"/>
    </w:rPr>
  </w:style>
  <w:style w:type="character" w:customStyle="1" w:styleId="CommentTextChar">
    <w:name w:val="Comment Text Char"/>
    <w:basedOn w:val="DefaultParagraphFont"/>
    <w:link w:val="CommentText"/>
    <w:uiPriority w:val="99"/>
    <w:semiHidden/>
    <w:rsid w:val="006C67EF"/>
  </w:style>
  <w:style w:type="paragraph" w:styleId="CommentSubject">
    <w:name w:val="annotation subject"/>
    <w:basedOn w:val="CommentText"/>
    <w:next w:val="CommentText"/>
    <w:link w:val="CommentSubjectChar"/>
    <w:uiPriority w:val="99"/>
    <w:semiHidden/>
    <w:unhideWhenUsed/>
    <w:rsid w:val="006C67EF"/>
    <w:rPr>
      <w:b/>
      <w:bCs/>
    </w:rPr>
  </w:style>
  <w:style w:type="character" w:customStyle="1" w:styleId="CommentSubjectChar">
    <w:name w:val="Comment Subject Char"/>
    <w:basedOn w:val="CommentTextChar"/>
    <w:link w:val="CommentSubject"/>
    <w:uiPriority w:val="99"/>
    <w:semiHidden/>
    <w:rsid w:val="006C6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42B9-5C6D-4294-9A7B-A4F99DE2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MS Base Full Styles</vt:lpstr>
    </vt:vector>
  </TitlesOfParts>
  <Company>Weightmans LLP</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Adele Shortman</dc:creator>
  <cp:keywords/>
  <dc:description/>
  <cp:lastModifiedBy>Louise Singh</cp:lastModifiedBy>
  <cp:revision>5</cp:revision>
  <cp:lastPrinted>2013-07-08T10:59:00Z</cp:lastPrinted>
  <dcterms:created xsi:type="dcterms:W3CDTF">2021-11-26T16:40:00Z</dcterms:created>
  <dcterms:modified xsi:type="dcterms:W3CDTF">2022-05-30T10:18:00Z</dcterms:modified>
</cp:coreProperties>
</file>