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C9B2" w14:textId="25782B4B" w:rsidR="00F008C7" w:rsidRDefault="00F008C7" w:rsidP="00F008C7">
      <w:pPr>
        <w:rPr>
          <w:rFonts w:ascii="TheMix Trial SemiLight" w:hAnsi="TheMix Trial SemiLight"/>
          <w:b/>
          <w:bCs/>
          <w:color w:val="004852"/>
          <w:sz w:val="22"/>
          <w:szCs w:val="22"/>
          <w:u w:val="single"/>
        </w:rPr>
      </w:pPr>
      <w:bookmarkStart w:id="0" w:name="References"/>
      <w:r>
        <w:rPr>
          <w:rFonts w:ascii="TheMix Trial SemiLight" w:hAnsi="TheMix Trial SemiLight"/>
          <w:b/>
          <w:bCs/>
          <w:color w:val="004852"/>
          <w:sz w:val="22"/>
          <w:szCs w:val="22"/>
          <w:u w:val="single"/>
        </w:rPr>
        <w:t>Background Checks: References</w:t>
      </w:r>
    </w:p>
    <w:p w14:paraId="30013B54" w14:textId="111C11C7" w:rsidR="00F008C7" w:rsidRPr="00F008C7" w:rsidRDefault="00F008C7" w:rsidP="00F008C7">
      <w:pPr>
        <w:rPr>
          <w:rFonts w:ascii="TheMix Trial SemiLight" w:hAnsi="TheMix Trial SemiLight"/>
          <w:b/>
          <w:bCs/>
          <w:color w:val="004852"/>
          <w:sz w:val="22"/>
          <w:szCs w:val="22"/>
          <w:u w:val="single"/>
        </w:rPr>
      </w:pPr>
      <w:r w:rsidRPr="00F008C7">
        <w:rPr>
          <w:rFonts w:ascii="TheMix Trial SemiLight" w:hAnsi="TheMix Trial SemiLight"/>
          <w:b/>
          <w:bCs/>
          <w:color w:val="004852"/>
          <w:sz w:val="22"/>
          <w:szCs w:val="22"/>
          <w:u w:val="single"/>
        </w:rPr>
        <w:t xml:space="preserve">References </w:t>
      </w:r>
    </w:p>
    <w:bookmarkEnd w:id="0"/>
    <w:p w14:paraId="3A4DE1E7" w14:textId="77777777" w:rsidR="00F008C7" w:rsidRPr="001B3690" w:rsidRDefault="00F008C7" w:rsidP="00F008C7">
      <w:pPr>
        <w:rPr>
          <w:rFonts w:ascii="TheMix Trial SemiLight" w:hAnsi="TheMix Trial SemiLight"/>
          <w:color w:val="004852"/>
          <w:sz w:val="20"/>
        </w:rPr>
      </w:pPr>
    </w:p>
    <w:p w14:paraId="58E03355" w14:textId="77777777" w:rsidR="00F008C7" w:rsidRPr="001B3690" w:rsidRDefault="00F008C7" w:rsidP="00F008C7">
      <w:pPr>
        <w:rPr>
          <w:rFonts w:ascii="TheMix Trial SemiLight" w:hAnsi="TheMix Trial SemiLight"/>
          <w:color w:val="004852"/>
          <w:sz w:val="20"/>
          <w:u w:val="single"/>
        </w:rPr>
      </w:pPr>
      <w:r w:rsidRPr="001B3690">
        <w:rPr>
          <w:rFonts w:ascii="TheMix Trial SemiLight" w:hAnsi="TheMix Trial SemiLight"/>
          <w:color w:val="004852"/>
          <w:sz w:val="20"/>
          <w:u w:val="single"/>
        </w:rPr>
        <w:t>Requesting a Reference</w:t>
      </w:r>
    </w:p>
    <w:p w14:paraId="2C1E2A9B" w14:textId="77777777" w:rsidR="00F008C7" w:rsidRPr="001B3690" w:rsidRDefault="00F008C7" w:rsidP="00F008C7">
      <w:pPr>
        <w:rPr>
          <w:rFonts w:ascii="TheMix Trial SemiLight" w:hAnsi="TheMix Trial SemiLight"/>
          <w:b/>
          <w:bCs/>
          <w:color w:val="004852"/>
          <w:sz w:val="20"/>
          <w:u w:val="single"/>
        </w:rPr>
      </w:pPr>
    </w:p>
    <w:p w14:paraId="1C555746" w14:textId="77777777" w:rsidR="00F008C7" w:rsidRPr="001B3690"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 xml:space="preserve">Employers are typically under no statutory requirement to obtain a reference for prospective employees subject to certain exceptions, e.g., in the financial services industry, it is usual for potential employers to request references from one or more former employers when recruiting an individual into the organisation. </w:t>
      </w:r>
    </w:p>
    <w:p w14:paraId="1101DF8A" w14:textId="77777777" w:rsidR="00F008C7" w:rsidRPr="001B3690" w:rsidRDefault="00F008C7" w:rsidP="00F008C7">
      <w:pPr>
        <w:rPr>
          <w:rFonts w:ascii="TheMix Trial SemiLight" w:hAnsi="TheMix Trial SemiLight"/>
          <w:b/>
          <w:bCs/>
          <w:color w:val="004852"/>
          <w:sz w:val="20"/>
          <w:u w:val="single"/>
        </w:rPr>
      </w:pPr>
    </w:p>
    <w:p w14:paraId="0FE97313"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Where one or more references are requested, it makes sense for the potential employer to make any offer of employment conditional on these references being satisfactory. </w:t>
      </w:r>
    </w:p>
    <w:p w14:paraId="09F04D63" w14:textId="77777777" w:rsidR="00F008C7" w:rsidRDefault="00F008C7" w:rsidP="00F008C7">
      <w:pPr>
        <w:rPr>
          <w:rFonts w:ascii="TheMix Trial SemiLight" w:hAnsi="TheMix Trial SemiLight"/>
          <w:color w:val="004852"/>
          <w:sz w:val="20"/>
        </w:rPr>
      </w:pPr>
    </w:p>
    <w:p w14:paraId="62D58C41"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Care should be taken with the wording to make it clear that the offer is conditional on the references being satisfactory to that potential employer. </w:t>
      </w:r>
    </w:p>
    <w:p w14:paraId="357289C8" w14:textId="77777777" w:rsidR="00F008C7" w:rsidRDefault="00F008C7" w:rsidP="00F008C7">
      <w:pPr>
        <w:rPr>
          <w:rFonts w:ascii="TheMix Trial SemiLight" w:hAnsi="TheMix Trial SemiLight"/>
          <w:color w:val="004852"/>
          <w:sz w:val="20"/>
        </w:rPr>
      </w:pPr>
    </w:p>
    <w:p w14:paraId="061C9447"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If the offer is not made conditional on the reference and the reference turns out to be unsatisfactory, then if the potential employer withdraws the reference this would be a breach of contract. </w:t>
      </w:r>
    </w:p>
    <w:p w14:paraId="11711A5F" w14:textId="77777777" w:rsidR="00F008C7" w:rsidRDefault="00F008C7" w:rsidP="00F008C7">
      <w:pPr>
        <w:rPr>
          <w:rFonts w:ascii="TheMix Trial SemiLight" w:hAnsi="TheMix Trial SemiLight"/>
          <w:color w:val="004852"/>
          <w:sz w:val="20"/>
        </w:rPr>
      </w:pPr>
    </w:p>
    <w:p w14:paraId="3B0D794A"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Care should be taken not to discriminate against an individual when deciding a reference is unsatisfactory. </w:t>
      </w:r>
    </w:p>
    <w:p w14:paraId="0EF2F05D" w14:textId="77777777" w:rsidR="00F008C7" w:rsidRDefault="00F008C7" w:rsidP="00F008C7">
      <w:pPr>
        <w:rPr>
          <w:rFonts w:ascii="TheMix Trial SemiLight" w:hAnsi="TheMix Trial SemiLight"/>
          <w:color w:val="004852"/>
          <w:sz w:val="20"/>
        </w:rPr>
      </w:pPr>
    </w:p>
    <w:p w14:paraId="18FBE984"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Discrimination may occur if the candidate is treated less favourably because of a protected characteristic, e.g., they were rejected because of an unsatisfactory absence record, and the absence was on account of a disability.</w:t>
      </w:r>
    </w:p>
    <w:p w14:paraId="133A3C9B" w14:textId="77777777" w:rsidR="00F008C7" w:rsidRPr="001B3690" w:rsidRDefault="00F008C7" w:rsidP="00F008C7">
      <w:pPr>
        <w:rPr>
          <w:rFonts w:ascii="TheMix Trial SemiLight" w:hAnsi="TheMix Trial SemiLight"/>
          <w:color w:val="004852"/>
          <w:sz w:val="20"/>
        </w:rPr>
      </w:pPr>
    </w:p>
    <w:p w14:paraId="3C33BD02"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If there is some discrepancy between what the candidate has told you and what is provided in the reference, the Information Commissioner’s Employment Practices Data Protection Code recommends that you should seek further information and speak with the candidate and provide them with the opportunity to explain any information where a discrepancy arises.</w:t>
      </w:r>
    </w:p>
    <w:p w14:paraId="27E6C022" w14:textId="77777777" w:rsidR="00F008C7" w:rsidRPr="001B3690" w:rsidRDefault="00F008C7" w:rsidP="00F008C7">
      <w:pPr>
        <w:rPr>
          <w:rFonts w:ascii="TheMix Trial SemiLight" w:hAnsi="TheMix Trial SemiLight"/>
          <w:color w:val="004852"/>
          <w:sz w:val="20"/>
        </w:rPr>
      </w:pPr>
    </w:p>
    <w:p w14:paraId="5A6599FD" w14:textId="77777777" w:rsidR="00F008C7" w:rsidRPr="001B3690" w:rsidRDefault="00F008C7" w:rsidP="00F008C7">
      <w:pPr>
        <w:rPr>
          <w:rFonts w:ascii="TheMix Trial SemiLight" w:hAnsi="TheMix Trial SemiLight"/>
          <w:color w:val="004852"/>
          <w:sz w:val="20"/>
          <w:u w:val="single"/>
        </w:rPr>
      </w:pPr>
    </w:p>
    <w:p w14:paraId="06D15D40" w14:textId="77777777" w:rsidR="00F008C7" w:rsidRPr="001B3690" w:rsidRDefault="00F008C7" w:rsidP="00F008C7">
      <w:pPr>
        <w:rPr>
          <w:rFonts w:ascii="TheMix Trial SemiLight" w:hAnsi="TheMix Trial SemiLight"/>
          <w:color w:val="004852"/>
          <w:sz w:val="20"/>
          <w:u w:val="single"/>
        </w:rPr>
      </w:pPr>
      <w:r w:rsidRPr="001B3690">
        <w:rPr>
          <w:rFonts w:ascii="TheMix Trial SemiLight" w:hAnsi="TheMix Trial SemiLight"/>
          <w:color w:val="004852"/>
          <w:sz w:val="20"/>
          <w:u w:val="single"/>
        </w:rPr>
        <w:t xml:space="preserve">Providing a Reference </w:t>
      </w:r>
    </w:p>
    <w:p w14:paraId="28F307AA" w14:textId="77777777" w:rsidR="00F008C7" w:rsidRPr="001B3690" w:rsidRDefault="00F008C7" w:rsidP="00F008C7">
      <w:pPr>
        <w:rPr>
          <w:rFonts w:ascii="TheMix Trial SemiLight" w:hAnsi="TheMix Trial SemiLight"/>
          <w:color w:val="004852"/>
          <w:sz w:val="20"/>
        </w:rPr>
      </w:pPr>
    </w:p>
    <w:p w14:paraId="0E79CD11"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There is no general legal obligation for employers to provide their employees or ex-employees with a reference. </w:t>
      </w:r>
    </w:p>
    <w:p w14:paraId="71BCC383" w14:textId="77777777" w:rsidR="00F008C7" w:rsidRDefault="00F008C7" w:rsidP="00F008C7">
      <w:pPr>
        <w:rPr>
          <w:rFonts w:ascii="TheMix Trial SemiLight" w:hAnsi="TheMix Trial SemiLight"/>
          <w:color w:val="004852"/>
          <w:sz w:val="20"/>
        </w:rPr>
      </w:pPr>
    </w:p>
    <w:p w14:paraId="71A57D96"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Indeed, some employers have a policy that they will not provide a reference or will only provide a brief factual reference confirming the employee’s dates of employment and job title. </w:t>
      </w:r>
    </w:p>
    <w:p w14:paraId="74CFCD37" w14:textId="77777777" w:rsidR="00F008C7" w:rsidRDefault="00F008C7" w:rsidP="00F008C7">
      <w:pPr>
        <w:rPr>
          <w:rFonts w:ascii="TheMix Trial SemiLight" w:hAnsi="TheMix Trial SemiLight"/>
          <w:color w:val="004852"/>
          <w:sz w:val="20"/>
        </w:rPr>
      </w:pPr>
    </w:p>
    <w:p w14:paraId="63009C35"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There are some narrow exceptions to this general rule: in </w:t>
      </w:r>
      <w:hyperlink r:id="rId8" w:tooltip="Settlement agreements" w:history="1">
        <w:r w:rsidRPr="00D40D10">
          <w:rPr>
            <w:rStyle w:val="Hyperlink"/>
            <w:rFonts w:ascii="TheMix Trial SemiLight" w:hAnsi="TheMix Trial SemiLight"/>
            <w:color w:val="004852"/>
            <w:sz w:val="20"/>
            <w:highlight w:val="yellow"/>
            <w:u w:val="none"/>
          </w:rPr>
          <w:t>settlement agreements</w:t>
        </w:r>
      </w:hyperlink>
      <w:r w:rsidRPr="00D40D10">
        <w:rPr>
          <w:rFonts w:ascii="TheMix Trial SemiLight" w:hAnsi="TheMix Trial SemiLight"/>
          <w:color w:val="004852"/>
          <w:sz w:val="20"/>
          <w:highlight w:val="yellow"/>
        </w:rPr>
        <w:t>,</w:t>
      </w:r>
      <w:r w:rsidRPr="001B3690">
        <w:rPr>
          <w:rFonts w:ascii="TheMix Trial SemiLight" w:hAnsi="TheMix Trial SemiLight"/>
          <w:color w:val="004852"/>
          <w:sz w:val="20"/>
        </w:rPr>
        <w:t xml:space="preserve"> it is not uncommon for there to be a term of the agreement that the employer will provide a reference, with the wording of the reference usually being agreed as part of the terms. </w:t>
      </w:r>
    </w:p>
    <w:p w14:paraId="29758661" w14:textId="77777777" w:rsidR="00F008C7" w:rsidRDefault="00F008C7" w:rsidP="00F008C7">
      <w:pPr>
        <w:rPr>
          <w:rFonts w:ascii="TheMix Trial SemiLight" w:hAnsi="TheMix Trial SemiLight"/>
          <w:color w:val="004852"/>
          <w:sz w:val="20"/>
        </w:rPr>
      </w:pPr>
    </w:p>
    <w:p w14:paraId="1CB10B03"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Within the financial services sector there are specific requirements to provide information to the Financial Services Authority.</w:t>
      </w:r>
    </w:p>
    <w:p w14:paraId="4F00286A" w14:textId="77777777" w:rsidR="00F008C7" w:rsidRPr="001B3690" w:rsidRDefault="00F008C7" w:rsidP="00F008C7">
      <w:pPr>
        <w:rPr>
          <w:rFonts w:ascii="TheMix Trial SemiLight" w:hAnsi="TheMix Trial SemiLight"/>
          <w:color w:val="004852"/>
          <w:sz w:val="20"/>
        </w:rPr>
      </w:pPr>
    </w:p>
    <w:p w14:paraId="541B386F"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It is important that employers have a consistent approach to the circumstances when and how references are provided. </w:t>
      </w:r>
    </w:p>
    <w:p w14:paraId="3350D091" w14:textId="77777777" w:rsidR="00F008C7" w:rsidRDefault="00F008C7" w:rsidP="00F008C7">
      <w:pPr>
        <w:rPr>
          <w:rFonts w:ascii="TheMix Trial SemiLight" w:hAnsi="TheMix Trial SemiLight"/>
          <w:color w:val="004852"/>
          <w:sz w:val="20"/>
        </w:rPr>
      </w:pPr>
    </w:p>
    <w:p w14:paraId="3E5E2723"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If the policy is not to provide references, this should be </w:t>
      </w:r>
      <w:proofErr w:type="gramStart"/>
      <w:r w:rsidRPr="001B3690">
        <w:rPr>
          <w:rFonts w:ascii="TheMix Trial SemiLight" w:hAnsi="TheMix Trial SemiLight"/>
          <w:color w:val="004852"/>
          <w:sz w:val="20"/>
        </w:rPr>
        <w:t>complied with at all times</w:t>
      </w:r>
      <w:proofErr w:type="gramEnd"/>
      <w:r w:rsidRPr="001B3690">
        <w:rPr>
          <w:rFonts w:ascii="TheMix Trial SemiLight" w:hAnsi="TheMix Trial SemiLight"/>
          <w:color w:val="004852"/>
          <w:sz w:val="20"/>
        </w:rPr>
        <w:t xml:space="preserve">. </w:t>
      </w:r>
    </w:p>
    <w:p w14:paraId="3D104919" w14:textId="77777777" w:rsidR="00F008C7" w:rsidRDefault="00F008C7" w:rsidP="00F008C7">
      <w:pPr>
        <w:rPr>
          <w:rFonts w:ascii="TheMix Trial SemiLight" w:hAnsi="TheMix Trial SemiLight"/>
          <w:color w:val="004852"/>
          <w:sz w:val="20"/>
        </w:rPr>
      </w:pPr>
    </w:p>
    <w:p w14:paraId="34D126B0"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If the policy is to provide references, careful consideration should be given in refusing to provide a reference as declining to do so could result in a discrimination or victimisation claim in the Employment Tribunal or other Civil Courts.</w:t>
      </w:r>
    </w:p>
    <w:p w14:paraId="56C60946" w14:textId="77777777" w:rsidR="00F008C7" w:rsidRPr="00D40D10" w:rsidRDefault="00F008C7" w:rsidP="00F008C7">
      <w:pPr>
        <w:rPr>
          <w:rFonts w:ascii="TheMix Trial SemiLight" w:hAnsi="TheMix Trial SemiLight"/>
          <w:b/>
          <w:bCs/>
          <w:color w:val="004852"/>
          <w:sz w:val="20"/>
          <w:highlight w:val="yellow"/>
          <w:u w:val="single"/>
        </w:rPr>
      </w:pPr>
    </w:p>
    <w:p w14:paraId="065EAC62" w14:textId="77777777" w:rsidR="00F008C7" w:rsidRPr="001B3690" w:rsidRDefault="00F008C7" w:rsidP="00F008C7">
      <w:pPr>
        <w:rPr>
          <w:rFonts w:ascii="TheMix Trial SemiLight" w:hAnsi="TheMix Trial SemiLight"/>
          <w:color w:val="004852"/>
          <w:sz w:val="20"/>
          <w:u w:val="single"/>
        </w:rPr>
      </w:pPr>
      <w:r w:rsidRPr="001B3690">
        <w:rPr>
          <w:rFonts w:ascii="TheMix Trial SemiLight" w:hAnsi="TheMix Trial SemiLight"/>
          <w:color w:val="004852"/>
          <w:sz w:val="20"/>
          <w:u w:val="single"/>
        </w:rPr>
        <w:t>Types of References</w:t>
      </w:r>
    </w:p>
    <w:p w14:paraId="7907D8EE" w14:textId="77777777" w:rsidR="00F008C7" w:rsidRPr="001B3690" w:rsidRDefault="00F008C7" w:rsidP="00F008C7">
      <w:pPr>
        <w:pStyle w:val="ListParagraph"/>
        <w:ind w:left="1080"/>
        <w:rPr>
          <w:rFonts w:ascii="TheMix Trial SemiLight" w:hAnsi="TheMix Trial SemiLight"/>
          <w:color w:val="004852"/>
          <w:sz w:val="20"/>
        </w:rPr>
      </w:pPr>
    </w:p>
    <w:p w14:paraId="3D1A1E8B"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 xml:space="preserve">The most common type of reference is that given by an individual’s present or former employer to a prospective employer, but references may be provided in other circumstances, e.g., a financial reference to a mortgage lender. </w:t>
      </w:r>
    </w:p>
    <w:p w14:paraId="2E128C8B" w14:textId="77777777" w:rsidR="00F008C7" w:rsidRDefault="00F008C7" w:rsidP="00F008C7">
      <w:pPr>
        <w:rPr>
          <w:rFonts w:ascii="TheMix Trial SemiLight" w:hAnsi="TheMix Trial SemiLight" w:cs="Lucida Sans Unicode"/>
          <w:color w:val="004852"/>
          <w:sz w:val="20"/>
        </w:rPr>
      </w:pPr>
    </w:p>
    <w:p w14:paraId="18A6865E"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 xml:space="preserve">References can be provided in a personal capacity or on behalf of an employer. </w:t>
      </w:r>
    </w:p>
    <w:p w14:paraId="477D7DC5" w14:textId="77777777" w:rsidR="00F008C7" w:rsidRDefault="00F008C7" w:rsidP="00F008C7">
      <w:pPr>
        <w:rPr>
          <w:rFonts w:ascii="TheMix Trial SemiLight" w:hAnsi="TheMix Trial SemiLight" w:cs="Lucida Sans Unicode"/>
          <w:color w:val="004852"/>
          <w:sz w:val="20"/>
        </w:rPr>
      </w:pPr>
    </w:p>
    <w:p w14:paraId="344EBC31" w14:textId="77777777" w:rsidR="00F008C7" w:rsidRPr="001B3690"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The employer is legally liable for any reference made on its behalf and it may not always be clear when a reference is being given in a personal capacity or on behalf of the employer.</w:t>
      </w:r>
    </w:p>
    <w:p w14:paraId="4B968488" w14:textId="77777777" w:rsidR="00F008C7" w:rsidRPr="001B3690" w:rsidRDefault="00F008C7" w:rsidP="00F008C7">
      <w:pPr>
        <w:rPr>
          <w:rFonts w:ascii="TheMix Trial SemiLight" w:hAnsi="TheMix Trial SemiLight" w:cs="Lucida Sans Unicode"/>
          <w:color w:val="004852"/>
          <w:sz w:val="20"/>
        </w:rPr>
      </w:pPr>
    </w:p>
    <w:p w14:paraId="6867425A"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 xml:space="preserve">If a line manager gives what he considers to be a personal reference, this may leave the employer liable as personal references are more likely to stray from </w:t>
      </w:r>
      <w:proofErr w:type="gramStart"/>
      <w:r w:rsidRPr="001B3690">
        <w:rPr>
          <w:rFonts w:ascii="TheMix Trial SemiLight" w:hAnsi="TheMix Trial SemiLight" w:cs="Lucida Sans Unicode"/>
          <w:color w:val="004852"/>
          <w:sz w:val="20"/>
        </w:rPr>
        <w:t>hard fact</w:t>
      </w:r>
      <w:proofErr w:type="gramEnd"/>
      <w:r w:rsidRPr="001B3690">
        <w:rPr>
          <w:rFonts w:ascii="TheMix Trial SemiLight" w:hAnsi="TheMix Trial SemiLight" w:cs="Lucida Sans Unicode"/>
          <w:color w:val="004852"/>
          <w:sz w:val="20"/>
        </w:rPr>
        <w:t xml:space="preserve"> into opinion. </w:t>
      </w:r>
    </w:p>
    <w:p w14:paraId="5C695494" w14:textId="77777777" w:rsidR="00F008C7" w:rsidRDefault="00F008C7" w:rsidP="00F008C7">
      <w:pPr>
        <w:rPr>
          <w:rFonts w:ascii="TheMix Trial SemiLight" w:hAnsi="TheMix Trial SemiLight" w:cs="Lucida Sans Unicode"/>
          <w:color w:val="004852"/>
          <w:sz w:val="20"/>
        </w:rPr>
      </w:pPr>
    </w:p>
    <w:p w14:paraId="4FDEA275"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This can be a particular problem if the reference is on company letter heading</w:t>
      </w:r>
      <w:r>
        <w:rPr>
          <w:rFonts w:ascii="TheMix Trial SemiLight" w:hAnsi="TheMix Trial SemiLight" w:cs="Lucida Sans Unicode"/>
          <w:color w:val="004852"/>
          <w:sz w:val="20"/>
        </w:rPr>
        <w:t xml:space="preserve"> or received from a company-linked email address</w:t>
      </w:r>
      <w:r w:rsidRPr="001B3690">
        <w:rPr>
          <w:rFonts w:ascii="TheMix Trial SemiLight" w:hAnsi="TheMix Trial SemiLight" w:cs="Lucida Sans Unicode"/>
          <w:color w:val="004852"/>
          <w:sz w:val="20"/>
        </w:rPr>
        <w:t xml:space="preserve">. </w:t>
      </w:r>
    </w:p>
    <w:p w14:paraId="2B0B438A" w14:textId="77777777" w:rsidR="00F008C7" w:rsidRDefault="00F008C7" w:rsidP="00F008C7">
      <w:pPr>
        <w:rPr>
          <w:rFonts w:ascii="TheMix Trial SemiLight" w:hAnsi="TheMix Trial SemiLight" w:cs="Lucida Sans Unicode"/>
          <w:color w:val="004852"/>
          <w:sz w:val="20"/>
        </w:rPr>
      </w:pPr>
    </w:p>
    <w:p w14:paraId="6A2AC139" w14:textId="77777777" w:rsidR="00F008C7" w:rsidRPr="001B3690"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Many organisations have a policy or clause in their handbook about providing references, making clear who within an organisation is permitted to provide a reference.</w:t>
      </w:r>
    </w:p>
    <w:p w14:paraId="05439B7A" w14:textId="77777777" w:rsidR="00F008C7" w:rsidRPr="001B3690" w:rsidRDefault="00F008C7" w:rsidP="00F008C7">
      <w:pPr>
        <w:rPr>
          <w:rFonts w:ascii="TheMix Trial SemiLight" w:hAnsi="TheMix Trial SemiLight" w:cs="Lucida Sans Unicode"/>
          <w:color w:val="004852"/>
          <w:sz w:val="20"/>
        </w:rPr>
      </w:pPr>
    </w:p>
    <w:p w14:paraId="0DB03CCA" w14:textId="77777777" w:rsidR="00F008C7" w:rsidRPr="001B3690"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 xml:space="preserve">References can be verbal or in writing, but both carry the same weight, subject to the potential for dispute as to what was </w:t>
      </w:r>
      <w:proofErr w:type="gramStart"/>
      <w:r w:rsidRPr="001B3690">
        <w:rPr>
          <w:rFonts w:ascii="TheMix Trial SemiLight" w:hAnsi="TheMix Trial SemiLight" w:cs="Lucida Sans Unicode"/>
          <w:color w:val="004852"/>
          <w:sz w:val="20"/>
        </w:rPr>
        <w:t>actually said</w:t>
      </w:r>
      <w:proofErr w:type="gramEnd"/>
      <w:r w:rsidRPr="001B3690">
        <w:rPr>
          <w:rFonts w:ascii="TheMix Trial SemiLight" w:hAnsi="TheMix Trial SemiLight" w:cs="Lucida Sans Unicode"/>
          <w:color w:val="004852"/>
          <w:sz w:val="20"/>
        </w:rPr>
        <w:t xml:space="preserve"> in relation to a verbal reference.</w:t>
      </w:r>
    </w:p>
    <w:p w14:paraId="3D18BDF7" w14:textId="77777777" w:rsidR="00F008C7" w:rsidRPr="001B3690" w:rsidRDefault="00F008C7" w:rsidP="00F008C7">
      <w:pPr>
        <w:rPr>
          <w:rFonts w:ascii="TheMix Trial SemiLight" w:hAnsi="TheMix Trial SemiLight"/>
          <w:color w:val="004852"/>
          <w:sz w:val="20"/>
        </w:rPr>
      </w:pPr>
    </w:p>
    <w:p w14:paraId="793C897D" w14:textId="77777777" w:rsidR="00F008C7" w:rsidRPr="001B3690" w:rsidRDefault="00F008C7" w:rsidP="00F008C7">
      <w:pPr>
        <w:rPr>
          <w:rFonts w:ascii="TheMix Trial SemiLight" w:hAnsi="TheMix Trial SemiLight"/>
          <w:color w:val="004852"/>
          <w:sz w:val="20"/>
          <w:u w:val="single"/>
        </w:rPr>
      </w:pPr>
      <w:r w:rsidRPr="001B3690">
        <w:rPr>
          <w:rFonts w:ascii="TheMix Trial SemiLight" w:hAnsi="TheMix Trial SemiLight"/>
          <w:color w:val="004852"/>
          <w:sz w:val="20"/>
          <w:u w:val="single"/>
        </w:rPr>
        <w:t>What should you consider in relation to the content of a Reference</w:t>
      </w:r>
    </w:p>
    <w:p w14:paraId="22737BAB" w14:textId="77777777" w:rsidR="00F008C7" w:rsidRPr="001B3690" w:rsidRDefault="00F008C7" w:rsidP="00F008C7">
      <w:pPr>
        <w:pStyle w:val="ListParagraph"/>
        <w:ind w:left="1080"/>
        <w:rPr>
          <w:rFonts w:ascii="TheMix Trial SemiLight" w:hAnsi="TheMix Trial SemiLight"/>
          <w:color w:val="004852"/>
          <w:sz w:val="20"/>
        </w:rPr>
      </w:pPr>
    </w:p>
    <w:p w14:paraId="435C2151"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References may be provided by either an individual in a personal capacity or on behalf of the employer as a corporate reference.</w:t>
      </w:r>
    </w:p>
    <w:p w14:paraId="4077043B" w14:textId="77777777" w:rsidR="00F008C7" w:rsidRDefault="00F008C7" w:rsidP="00F008C7">
      <w:pPr>
        <w:rPr>
          <w:rFonts w:ascii="TheMix Trial SemiLight" w:hAnsi="TheMix Trial SemiLight" w:cs="Lucida Sans Unicode"/>
          <w:color w:val="004852"/>
          <w:sz w:val="20"/>
        </w:rPr>
      </w:pPr>
    </w:p>
    <w:p w14:paraId="30EA232D" w14:textId="77777777" w:rsidR="00F008C7" w:rsidRPr="001B3690"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A corporate reference will usually be on the employer’s letter heading and the employer will be potentially liable for the contents of the reference.</w:t>
      </w:r>
    </w:p>
    <w:p w14:paraId="215443BA" w14:textId="77777777" w:rsidR="00F008C7" w:rsidRPr="001B3690" w:rsidRDefault="00F008C7" w:rsidP="00F008C7">
      <w:pPr>
        <w:rPr>
          <w:rFonts w:ascii="TheMix Trial SemiLight" w:hAnsi="TheMix Trial SemiLight" w:cs="Lucida Sans Unicode"/>
          <w:color w:val="004852"/>
          <w:sz w:val="20"/>
        </w:rPr>
      </w:pPr>
    </w:p>
    <w:p w14:paraId="38B6E9E6"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 xml:space="preserve">If an employer has a policy for the provision of references (see above comments), this should also set out the format of the reference and give guidance as its content. </w:t>
      </w:r>
    </w:p>
    <w:p w14:paraId="5C37E04A" w14:textId="77777777" w:rsidR="00F008C7" w:rsidRDefault="00F008C7" w:rsidP="00F008C7">
      <w:pPr>
        <w:rPr>
          <w:rFonts w:ascii="TheMix Trial SemiLight" w:hAnsi="TheMix Trial SemiLight" w:cs="Lucida Sans Unicode"/>
          <w:color w:val="004852"/>
          <w:sz w:val="20"/>
        </w:rPr>
      </w:pPr>
    </w:p>
    <w:p w14:paraId="66A45883"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 xml:space="preserve">Many employers restrict references to purely factual matters, e.g., dates of employment, job title and will not include personal opinions as to the individual’s abilities or personal qualities. </w:t>
      </w:r>
    </w:p>
    <w:p w14:paraId="49E48D6E" w14:textId="77777777" w:rsidR="00F008C7" w:rsidRDefault="00F008C7" w:rsidP="00F008C7">
      <w:pPr>
        <w:rPr>
          <w:rFonts w:ascii="TheMix Trial SemiLight" w:hAnsi="TheMix Trial SemiLight" w:cs="Lucida Sans Unicode"/>
          <w:color w:val="004852"/>
          <w:sz w:val="20"/>
        </w:rPr>
      </w:pPr>
    </w:p>
    <w:p w14:paraId="601287C1" w14:textId="77777777" w:rsidR="00F008C7" w:rsidRPr="001B3690"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Care must be taken to ensure that the information provided is factually correct.</w:t>
      </w:r>
    </w:p>
    <w:p w14:paraId="41EEEC4D" w14:textId="77777777" w:rsidR="00F008C7" w:rsidRPr="001B3690" w:rsidRDefault="00F008C7" w:rsidP="00F008C7">
      <w:pPr>
        <w:rPr>
          <w:rFonts w:ascii="TheMix Trial SemiLight" w:hAnsi="TheMix Trial SemiLight" w:cs="Lucida Sans Unicode"/>
          <w:color w:val="004852"/>
          <w:sz w:val="20"/>
        </w:rPr>
      </w:pPr>
    </w:p>
    <w:p w14:paraId="05EC231D"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 xml:space="preserve">Employers are not liable for a personal reference given by an individual in their personal capacity. </w:t>
      </w:r>
    </w:p>
    <w:p w14:paraId="4F0BBA8B" w14:textId="77777777" w:rsidR="00F008C7" w:rsidRDefault="00F008C7" w:rsidP="00F008C7">
      <w:pPr>
        <w:rPr>
          <w:rFonts w:ascii="TheMix Trial SemiLight" w:hAnsi="TheMix Trial SemiLight" w:cs="Lucida Sans Unicode"/>
          <w:color w:val="004852"/>
          <w:sz w:val="20"/>
        </w:rPr>
      </w:pPr>
    </w:p>
    <w:p w14:paraId="10004A61"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However, there is always a danger that a personal reference may is taken to be a corporate reference.</w:t>
      </w:r>
    </w:p>
    <w:p w14:paraId="76322395" w14:textId="77777777" w:rsidR="00F008C7" w:rsidRDefault="00F008C7" w:rsidP="00F008C7">
      <w:pPr>
        <w:rPr>
          <w:rFonts w:ascii="TheMix Trial SemiLight" w:hAnsi="TheMix Trial SemiLight" w:cs="Lucida Sans Unicode"/>
          <w:color w:val="004852"/>
          <w:sz w:val="20"/>
        </w:rPr>
      </w:pPr>
    </w:p>
    <w:p w14:paraId="7C8BFBBE" w14:textId="77777777" w:rsidR="00F008C7" w:rsidRDefault="00F008C7" w:rsidP="00F008C7">
      <w:pPr>
        <w:rPr>
          <w:rFonts w:ascii="TheMix Trial SemiLight" w:hAnsi="TheMix Trial SemiLight" w:cs="Lucida Sans Unicode"/>
          <w:color w:val="004852"/>
          <w:sz w:val="20"/>
        </w:rPr>
      </w:pPr>
      <w:r>
        <w:rPr>
          <w:rFonts w:ascii="TheMix Trial SemiLight" w:hAnsi="TheMix Trial SemiLight" w:cs="Lucida Sans Unicode"/>
          <w:color w:val="004852"/>
          <w:sz w:val="20"/>
        </w:rPr>
        <w:t>I</w:t>
      </w:r>
      <w:r w:rsidRPr="001B3690">
        <w:rPr>
          <w:rFonts w:ascii="TheMix Trial SemiLight" w:hAnsi="TheMix Trial SemiLight" w:cs="Lucida Sans Unicode"/>
          <w:color w:val="004852"/>
          <w:sz w:val="20"/>
        </w:rPr>
        <w:t xml:space="preserve">f it is given on the employer's headed notepaper or with the referee's job title it is likely to be seen as a corporate reference. </w:t>
      </w:r>
    </w:p>
    <w:p w14:paraId="2145A887" w14:textId="77777777" w:rsidR="00F008C7" w:rsidRDefault="00F008C7" w:rsidP="00F008C7">
      <w:pPr>
        <w:rPr>
          <w:rFonts w:ascii="TheMix Trial SemiLight" w:hAnsi="TheMix Trial SemiLight" w:cs="Lucida Sans Unicode"/>
          <w:color w:val="004852"/>
          <w:sz w:val="20"/>
        </w:rPr>
      </w:pPr>
    </w:p>
    <w:p w14:paraId="085F0A4E" w14:textId="77777777" w:rsidR="00F008C7" w:rsidRPr="001B3690"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Any policy should make it clear that personal references may not be given on the employer’s letter heading and should make it clear that the reference is being made in a personal capacity.</w:t>
      </w:r>
    </w:p>
    <w:p w14:paraId="411AFBD9" w14:textId="77777777" w:rsidR="00F008C7" w:rsidRPr="001B3690" w:rsidRDefault="00F008C7" w:rsidP="00F008C7">
      <w:pPr>
        <w:rPr>
          <w:rFonts w:ascii="TheMix Trial SemiLight" w:hAnsi="TheMix Trial SemiLight" w:cs="Lucida Sans Unicode"/>
          <w:color w:val="004852"/>
          <w:sz w:val="20"/>
        </w:rPr>
      </w:pPr>
    </w:p>
    <w:p w14:paraId="433C7F6F"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 xml:space="preserve">Although the employer may have a policy dealing with what will be provided in a reference, from time to time, reference requests may come in as a template form to be completed, and asking questions that go beyond those the employer would normally answer. </w:t>
      </w:r>
    </w:p>
    <w:p w14:paraId="02F1A9BB" w14:textId="77777777" w:rsidR="00F008C7" w:rsidRDefault="00F008C7" w:rsidP="00F008C7">
      <w:pPr>
        <w:rPr>
          <w:rFonts w:ascii="TheMix Trial SemiLight" w:hAnsi="TheMix Trial SemiLight" w:cs="Lucida Sans Unicode"/>
          <w:color w:val="004852"/>
          <w:sz w:val="20"/>
        </w:rPr>
      </w:pPr>
    </w:p>
    <w:p w14:paraId="0C092DB3"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 xml:space="preserve">The employer is not under any obligation to answer these questions. </w:t>
      </w:r>
    </w:p>
    <w:p w14:paraId="572AD96F" w14:textId="77777777" w:rsidR="00F008C7" w:rsidRDefault="00F008C7" w:rsidP="00F008C7">
      <w:pPr>
        <w:rPr>
          <w:rFonts w:ascii="TheMix Trial SemiLight" w:hAnsi="TheMix Trial SemiLight" w:cs="Lucida Sans Unicode"/>
          <w:color w:val="004852"/>
          <w:sz w:val="20"/>
        </w:rPr>
      </w:pPr>
    </w:p>
    <w:p w14:paraId="21E46B02" w14:textId="77777777" w:rsidR="00F008C7" w:rsidRPr="001B3690" w:rsidRDefault="00F008C7" w:rsidP="00F008C7">
      <w:pPr>
        <w:rPr>
          <w:rFonts w:ascii="TheMix Trial SemiLight" w:hAnsi="TheMix Trial SemiLight" w:cs="Lucida Sans Unicode"/>
          <w:color w:val="004852"/>
          <w:sz w:val="20"/>
        </w:rPr>
      </w:pPr>
      <w:r>
        <w:rPr>
          <w:rFonts w:ascii="TheMix Trial SemiLight" w:hAnsi="TheMix Trial SemiLight" w:cs="Lucida Sans Unicode"/>
          <w:color w:val="004852"/>
          <w:sz w:val="20"/>
        </w:rPr>
        <w:t>The employer</w:t>
      </w:r>
      <w:r w:rsidRPr="001B3690">
        <w:rPr>
          <w:rFonts w:ascii="TheMix Trial SemiLight" w:hAnsi="TheMix Trial SemiLight" w:cs="Lucida Sans Unicode"/>
          <w:color w:val="004852"/>
          <w:sz w:val="20"/>
        </w:rPr>
        <w:t xml:space="preserve"> may cho</w:t>
      </w:r>
      <w:r>
        <w:rPr>
          <w:rFonts w:ascii="TheMix Trial SemiLight" w:hAnsi="TheMix Trial SemiLight" w:cs="Lucida Sans Unicode"/>
          <w:color w:val="004852"/>
          <w:sz w:val="20"/>
        </w:rPr>
        <w:t>o</w:t>
      </w:r>
      <w:r w:rsidRPr="001B3690">
        <w:rPr>
          <w:rFonts w:ascii="TheMix Trial SemiLight" w:hAnsi="TheMix Trial SemiLight" w:cs="Lucida Sans Unicode"/>
          <w:color w:val="004852"/>
          <w:sz w:val="20"/>
        </w:rPr>
        <w:t>se to answer all the questions but if it does not, then it is best to respond by making it clear that all</w:t>
      </w:r>
      <w:r>
        <w:rPr>
          <w:rFonts w:ascii="TheMix Trial SemiLight" w:hAnsi="TheMix Trial SemiLight" w:cs="Lucida Sans Unicode"/>
          <w:color w:val="004852"/>
          <w:sz w:val="20"/>
        </w:rPr>
        <w:t>,</w:t>
      </w:r>
      <w:r w:rsidRPr="001B3690">
        <w:rPr>
          <w:rFonts w:ascii="TheMix Trial SemiLight" w:hAnsi="TheMix Trial SemiLight" w:cs="Lucida Sans Unicode"/>
          <w:color w:val="004852"/>
          <w:sz w:val="20"/>
        </w:rPr>
        <w:t xml:space="preserve"> or </w:t>
      </w:r>
      <w:proofErr w:type="gramStart"/>
      <w:r w:rsidRPr="001B3690">
        <w:rPr>
          <w:rFonts w:ascii="TheMix Trial SemiLight" w:hAnsi="TheMix Trial SemiLight" w:cs="Lucida Sans Unicode"/>
          <w:color w:val="004852"/>
          <w:sz w:val="20"/>
        </w:rPr>
        <w:t>a number of</w:t>
      </w:r>
      <w:proofErr w:type="gramEnd"/>
      <w:r w:rsidRPr="001B3690">
        <w:rPr>
          <w:rFonts w:ascii="TheMix Trial SemiLight" w:hAnsi="TheMix Trial SemiLight" w:cs="Lucida Sans Unicode"/>
          <w:color w:val="004852"/>
          <w:sz w:val="20"/>
        </w:rPr>
        <w:t xml:space="preserve"> the questions</w:t>
      </w:r>
      <w:r>
        <w:rPr>
          <w:rFonts w:ascii="TheMix Trial SemiLight" w:hAnsi="TheMix Trial SemiLight" w:cs="Lucida Sans Unicode"/>
          <w:color w:val="004852"/>
          <w:sz w:val="20"/>
        </w:rPr>
        <w:t>,</w:t>
      </w:r>
      <w:r w:rsidRPr="001B3690">
        <w:rPr>
          <w:rFonts w:ascii="TheMix Trial SemiLight" w:hAnsi="TheMix Trial SemiLight" w:cs="Lucida Sans Unicode"/>
          <w:color w:val="004852"/>
          <w:sz w:val="20"/>
        </w:rPr>
        <w:t xml:space="preserve"> have not been answered because the organisation’s policy is only to provide specific </w:t>
      </w:r>
      <w:proofErr w:type="gramStart"/>
      <w:r w:rsidRPr="001B3690">
        <w:rPr>
          <w:rFonts w:ascii="TheMix Trial SemiLight" w:hAnsi="TheMix Trial SemiLight" w:cs="Lucida Sans Unicode"/>
          <w:color w:val="004852"/>
          <w:sz w:val="20"/>
        </w:rPr>
        <w:t>factual information</w:t>
      </w:r>
      <w:proofErr w:type="gramEnd"/>
      <w:r w:rsidRPr="001B3690">
        <w:rPr>
          <w:rFonts w:ascii="TheMix Trial SemiLight" w:hAnsi="TheMix Trial SemiLight" w:cs="Lucida Sans Unicode"/>
          <w:color w:val="004852"/>
          <w:sz w:val="20"/>
        </w:rPr>
        <w:t>.  </w:t>
      </w:r>
    </w:p>
    <w:p w14:paraId="52E9E14D" w14:textId="77777777" w:rsidR="00F008C7" w:rsidRPr="001B3690" w:rsidRDefault="00F008C7" w:rsidP="00F008C7">
      <w:pPr>
        <w:rPr>
          <w:rFonts w:ascii="TheMix Trial SemiLight" w:hAnsi="TheMix Trial SemiLight" w:cs="Lucida Sans Unicode"/>
          <w:color w:val="004852"/>
          <w:sz w:val="20"/>
        </w:rPr>
      </w:pPr>
    </w:p>
    <w:p w14:paraId="71751BF0" w14:textId="77777777" w:rsidR="00F008C7" w:rsidRPr="001B3690"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When preparing references, common elements to include are:</w:t>
      </w:r>
    </w:p>
    <w:p w14:paraId="34BDC5A4" w14:textId="77777777" w:rsidR="00F008C7" w:rsidRPr="001B3690" w:rsidRDefault="00F008C7" w:rsidP="00F008C7">
      <w:pPr>
        <w:rPr>
          <w:rFonts w:ascii="TheMix Trial SemiLight" w:hAnsi="TheMix Trial SemiLight" w:cs="Lucida Sans Unicode"/>
          <w:color w:val="004852"/>
          <w:sz w:val="20"/>
        </w:rPr>
      </w:pPr>
    </w:p>
    <w:p w14:paraId="6F53FD5E" w14:textId="77777777" w:rsidR="00F008C7" w:rsidRPr="001B3690" w:rsidRDefault="00F008C7" w:rsidP="00F008C7">
      <w:pPr>
        <w:pStyle w:val="ListParagraph"/>
        <w:numPr>
          <w:ilvl w:val="0"/>
          <w:numId w:val="30"/>
        </w:num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The dates of employment with the organisation</w:t>
      </w:r>
    </w:p>
    <w:p w14:paraId="042BE25C" w14:textId="77777777" w:rsidR="00F008C7" w:rsidRPr="001B3690" w:rsidRDefault="00F008C7" w:rsidP="00F008C7">
      <w:pPr>
        <w:pStyle w:val="ListParagraph"/>
        <w:numPr>
          <w:ilvl w:val="0"/>
          <w:numId w:val="30"/>
        </w:num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The employee's job title</w:t>
      </w:r>
    </w:p>
    <w:p w14:paraId="2297836B" w14:textId="77777777" w:rsidR="00F008C7" w:rsidRPr="001B3690" w:rsidRDefault="00F008C7" w:rsidP="00F008C7">
      <w:pPr>
        <w:pStyle w:val="ListParagraph"/>
        <w:numPr>
          <w:ilvl w:val="0"/>
          <w:numId w:val="30"/>
        </w:numPr>
        <w:rPr>
          <w:rFonts w:ascii="TheMix Trial SemiLight" w:hAnsi="TheMix Trial SemiLight" w:cs="Lucida Sans Unicode"/>
          <w:color w:val="004852"/>
          <w:sz w:val="20"/>
        </w:rPr>
      </w:pPr>
      <w:proofErr w:type="gramStart"/>
      <w:r w:rsidRPr="001B3690">
        <w:rPr>
          <w:rFonts w:ascii="TheMix Trial SemiLight" w:hAnsi="TheMix Trial SemiLight" w:cs="Lucida Sans Unicode"/>
          <w:color w:val="004852"/>
          <w:sz w:val="20"/>
        </w:rPr>
        <w:t>A brief summary</w:t>
      </w:r>
      <w:proofErr w:type="gramEnd"/>
      <w:r w:rsidRPr="001B3690">
        <w:rPr>
          <w:rFonts w:ascii="TheMix Trial SemiLight" w:hAnsi="TheMix Trial SemiLight" w:cs="Lucida Sans Unicode"/>
          <w:color w:val="004852"/>
          <w:sz w:val="20"/>
        </w:rPr>
        <w:t xml:space="preserve"> of key duties and level of responsibility</w:t>
      </w:r>
    </w:p>
    <w:p w14:paraId="299968DA" w14:textId="77777777" w:rsidR="00F008C7" w:rsidRPr="001B3690" w:rsidRDefault="00F008C7" w:rsidP="00F008C7">
      <w:pPr>
        <w:pStyle w:val="ListParagraph"/>
        <w:numPr>
          <w:ilvl w:val="0"/>
          <w:numId w:val="30"/>
        </w:num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Where relevant, information about specific responsibilities such as overseeing staff, budgets, equipment, or computer operations</w:t>
      </w:r>
    </w:p>
    <w:p w14:paraId="7D5849E2" w14:textId="77777777" w:rsidR="00F008C7" w:rsidRPr="001B3690" w:rsidRDefault="00F008C7" w:rsidP="00F008C7">
      <w:pPr>
        <w:pStyle w:val="ListParagraph"/>
        <w:numPr>
          <w:ilvl w:val="0"/>
          <w:numId w:val="30"/>
        </w:num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Prior positions held within the organisation and their duration</w:t>
      </w:r>
    </w:p>
    <w:p w14:paraId="3F176960" w14:textId="77777777" w:rsidR="00F008C7" w:rsidRPr="001B3690" w:rsidRDefault="00F008C7" w:rsidP="00F008C7">
      <w:pPr>
        <w:pStyle w:val="ListParagraph"/>
        <w:numPr>
          <w:ilvl w:val="0"/>
          <w:numId w:val="30"/>
        </w:num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Any disciplinary warnings issued in the recent period, for example, within the last two years</w:t>
      </w:r>
    </w:p>
    <w:p w14:paraId="00324E89" w14:textId="77777777" w:rsidR="00F008C7" w:rsidRPr="001B3690" w:rsidRDefault="00F008C7" w:rsidP="00F008C7">
      <w:pPr>
        <w:pStyle w:val="ListParagraph"/>
        <w:numPr>
          <w:ilvl w:val="0"/>
          <w:numId w:val="30"/>
        </w:num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The reason for termination, whether by resignation or at the organisation’s initiative, such as dismissal, redundancy, retirement, or end of a fixed-term contract.</w:t>
      </w:r>
    </w:p>
    <w:p w14:paraId="24FB9C43" w14:textId="77777777" w:rsidR="00F008C7" w:rsidRPr="001B3690" w:rsidRDefault="00F008C7" w:rsidP="00F008C7">
      <w:pPr>
        <w:rPr>
          <w:rFonts w:ascii="TheMix Trial SemiLight" w:hAnsi="TheMix Trial SemiLight" w:cs="Lucida Sans Unicode"/>
          <w:color w:val="004852"/>
          <w:sz w:val="20"/>
        </w:rPr>
      </w:pPr>
    </w:p>
    <w:p w14:paraId="63A67C8C"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 xml:space="preserve">Employers are advised to provide only verifiable facts in references, avoiding unsupported opinions. </w:t>
      </w:r>
    </w:p>
    <w:p w14:paraId="0504F6A8" w14:textId="77777777" w:rsidR="00F008C7" w:rsidRDefault="00F008C7" w:rsidP="00F008C7">
      <w:pPr>
        <w:rPr>
          <w:rFonts w:ascii="TheMix Trial SemiLight" w:hAnsi="TheMix Trial SemiLight" w:cs="Lucida Sans Unicode"/>
          <w:color w:val="004852"/>
          <w:sz w:val="20"/>
        </w:rPr>
      </w:pPr>
    </w:p>
    <w:p w14:paraId="2A773ECF" w14:textId="77777777" w:rsidR="00F008C7"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 xml:space="preserve">Standard references may outline employment history, main roles, responsibilities, disciplinary records, and reasons for leaving, provided this information has previously been shared with the employee. </w:t>
      </w:r>
    </w:p>
    <w:p w14:paraId="3BB15262" w14:textId="77777777" w:rsidR="00F008C7" w:rsidRDefault="00F008C7" w:rsidP="00F008C7">
      <w:pPr>
        <w:rPr>
          <w:rFonts w:ascii="TheMix Trial SemiLight" w:hAnsi="TheMix Trial SemiLight" w:cs="Lucida Sans Unicode"/>
          <w:color w:val="004852"/>
          <w:sz w:val="20"/>
        </w:rPr>
      </w:pPr>
    </w:p>
    <w:p w14:paraId="1CB24282" w14:textId="77777777" w:rsidR="00F008C7" w:rsidRPr="001B3690" w:rsidRDefault="00F008C7" w:rsidP="00F008C7">
      <w:pPr>
        <w:rPr>
          <w:rFonts w:ascii="TheMix Trial SemiLight" w:hAnsi="TheMix Trial SemiLight" w:cs="Lucida Sans Unicode"/>
          <w:color w:val="004852"/>
          <w:sz w:val="20"/>
        </w:rPr>
      </w:pPr>
      <w:r w:rsidRPr="001B3690">
        <w:rPr>
          <w:rFonts w:ascii="TheMix Trial SemiLight" w:hAnsi="TheMix Trial SemiLight" w:cs="Lucida Sans Unicode"/>
          <w:color w:val="004852"/>
          <w:sz w:val="20"/>
        </w:rPr>
        <w:t>Any negative content must be factual and transparent, in accordance with legal standards.</w:t>
      </w:r>
    </w:p>
    <w:p w14:paraId="7DAE44F2" w14:textId="77777777" w:rsidR="00F008C7" w:rsidRPr="001B3690" w:rsidRDefault="00F008C7" w:rsidP="00F008C7">
      <w:pPr>
        <w:rPr>
          <w:rFonts w:ascii="TheMix Trial SemiLight" w:hAnsi="TheMix Trial SemiLight"/>
          <w:color w:val="004852"/>
          <w:sz w:val="20"/>
        </w:rPr>
      </w:pPr>
    </w:p>
    <w:p w14:paraId="2198024F" w14:textId="77777777" w:rsidR="00F008C7" w:rsidRPr="001B3690" w:rsidRDefault="00F008C7" w:rsidP="00F008C7">
      <w:pPr>
        <w:rPr>
          <w:rFonts w:ascii="TheMix Trial SemiLight" w:hAnsi="TheMix Trial SemiLight"/>
          <w:color w:val="004852"/>
          <w:sz w:val="20"/>
          <w:u w:val="single"/>
        </w:rPr>
      </w:pPr>
      <w:r w:rsidRPr="001B3690">
        <w:rPr>
          <w:rFonts w:ascii="TheMix Trial SemiLight" w:hAnsi="TheMix Trial SemiLight"/>
          <w:color w:val="004852"/>
          <w:sz w:val="20"/>
          <w:u w:val="single"/>
        </w:rPr>
        <w:t>Liability for References</w:t>
      </w:r>
    </w:p>
    <w:p w14:paraId="5F9D570E" w14:textId="77777777" w:rsidR="00F008C7" w:rsidRPr="001B3690" w:rsidRDefault="00F008C7" w:rsidP="00F008C7">
      <w:pPr>
        <w:pStyle w:val="ListParagraph"/>
        <w:ind w:left="1080"/>
        <w:rPr>
          <w:rFonts w:ascii="TheMix Trial SemiLight" w:hAnsi="TheMix Trial SemiLight"/>
          <w:b/>
          <w:bCs/>
          <w:color w:val="004852"/>
          <w:sz w:val="20"/>
          <w:u w:val="single"/>
        </w:rPr>
      </w:pPr>
    </w:p>
    <w:p w14:paraId="3221A36E"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The subject of the reference could make the following claims against the referee: </w:t>
      </w:r>
    </w:p>
    <w:p w14:paraId="4F8789A7" w14:textId="77777777" w:rsidR="00F008C7" w:rsidRPr="001B3690" w:rsidRDefault="00F008C7" w:rsidP="00F008C7">
      <w:pPr>
        <w:numPr>
          <w:ilvl w:val="0"/>
          <w:numId w:val="31"/>
        </w:numPr>
        <w:rPr>
          <w:rFonts w:ascii="TheMix Trial SemiLight" w:hAnsi="TheMix Trial SemiLight"/>
          <w:color w:val="004852"/>
          <w:sz w:val="20"/>
        </w:rPr>
      </w:pPr>
      <w:r w:rsidRPr="00D40D10">
        <w:rPr>
          <w:rFonts w:ascii="TheMix Trial SemiLight" w:hAnsi="TheMix Trial SemiLight"/>
          <w:color w:val="004852"/>
          <w:sz w:val="20"/>
          <w:highlight w:val="yellow"/>
        </w:rPr>
        <w:t>Breach of contract/</w:t>
      </w:r>
      <w:hyperlink r:id="rId9" w:tooltip="Constructive dismissal" w:history="1">
        <w:r w:rsidRPr="00D40D10">
          <w:rPr>
            <w:rStyle w:val="Hyperlink"/>
            <w:rFonts w:ascii="TheMix Trial SemiLight" w:hAnsi="TheMix Trial SemiLight"/>
            <w:color w:val="004852"/>
            <w:sz w:val="20"/>
            <w:highlight w:val="yellow"/>
            <w:u w:val="none"/>
          </w:rPr>
          <w:t>constructive dismissal</w:t>
        </w:r>
      </w:hyperlink>
      <w:r w:rsidRPr="001B3690">
        <w:rPr>
          <w:rFonts w:ascii="TheMix Trial SemiLight" w:hAnsi="TheMix Trial SemiLight"/>
          <w:color w:val="004852"/>
          <w:sz w:val="20"/>
        </w:rPr>
        <w:t>, if they remain in employment</w:t>
      </w:r>
    </w:p>
    <w:p w14:paraId="1DB8AB94" w14:textId="77777777" w:rsidR="00F008C7" w:rsidRPr="001B3690" w:rsidRDefault="00F008C7" w:rsidP="00F008C7">
      <w:pPr>
        <w:numPr>
          <w:ilvl w:val="0"/>
          <w:numId w:val="31"/>
        </w:numPr>
        <w:rPr>
          <w:rFonts w:ascii="TheMix Trial SemiLight" w:hAnsi="TheMix Trial SemiLight"/>
          <w:color w:val="004852"/>
          <w:sz w:val="20"/>
        </w:rPr>
      </w:pPr>
      <w:r w:rsidRPr="00D40D10">
        <w:rPr>
          <w:rFonts w:ascii="TheMix Trial SemiLight" w:hAnsi="TheMix Trial SemiLight"/>
          <w:color w:val="004852"/>
          <w:sz w:val="20"/>
          <w:highlight w:val="yellow"/>
        </w:rPr>
        <w:lastRenderedPageBreak/>
        <w:t>Discrimination</w:t>
      </w:r>
    </w:p>
    <w:p w14:paraId="509B136C" w14:textId="77777777" w:rsidR="00F008C7" w:rsidRPr="001B3690" w:rsidRDefault="00F008C7" w:rsidP="00F008C7">
      <w:pPr>
        <w:numPr>
          <w:ilvl w:val="0"/>
          <w:numId w:val="31"/>
        </w:numPr>
        <w:rPr>
          <w:rFonts w:ascii="TheMix Trial SemiLight" w:hAnsi="TheMix Trial SemiLight"/>
          <w:color w:val="004852"/>
          <w:sz w:val="20"/>
        </w:rPr>
      </w:pPr>
      <w:hyperlink r:id="rId10" w:tooltip="A guide to defamation" w:history="1">
        <w:r w:rsidRPr="001B3690">
          <w:rPr>
            <w:rStyle w:val="Hyperlink"/>
            <w:rFonts w:ascii="TheMix Trial SemiLight" w:hAnsi="TheMix Trial SemiLight"/>
            <w:color w:val="004852"/>
            <w:sz w:val="20"/>
            <w:u w:val="none"/>
          </w:rPr>
          <w:t>Defamation</w:t>
        </w:r>
      </w:hyperlink>
    </w:p>
    <w:p w14:paraId="6844FB16" w14:textId="77777777" w:rsidR="00F008C7" w:rsidRPr="001B3690" w:rsidRDefault="00F008C7" w:rsidP="00F008C7">
      <w:pPr>
        <w:numPr>
          <w:ilvl w:val="0"/>
          <w:numId w:val="31"/>
        </w:numPr>
        <w:rPr>
          <w:rFonts w:ascii="TheMix Trial SemiLight" w:hAnsi="TheMix Trial SemiLight"/>
          <w:color w:val="004852"/>
          <w:sz w:val="20"/>
        </w:rPr>
      </w:pPr>
      <w:r w:rsidRPr="00D40D10">
        <w:rPr>
          <w:rFonts w:ascii="TheMix Trial SemiLight" w:hAnsi="TheMix Trial SemiLight"/>
          <w:color w:val="004852"/>
          <w:sz w:val="20"/>
          <w:highlight w:val="yellow"/>
        </w:rPr>
        <w:t>Malicious falsehood</w:t>
      </w:r>
    </w:p>
    <w:p w14:paraId="39616790" w14:textId="77777777" w:rsidR="00F008C7" w:rsidRPr="001B3690" w:rsidRDefault="00F008C7" w:rsidP="00F008C7">
      <w:pPr>
        <w:numPr>
          <w:ilvl w:val="0"/>
          <w:numId w:val="31"/>
        </w:numPr>
        <w:rPr>
          <w:rFonts w:ascii="TheMix Trial SemiLight" w:hAnsi="TheMix Trial SemiLight"/>
          <w:color w:val="004852"/>
          <w:sz w:val="20"/>
        </w:rPr>
      </w:pPr>
      <w:r w:rsidRPr="00D40D10">
        <w:rPr>
          <w:rFonts w:ascii="TheMix Trial SemiLight" w:hAnsi="TheMix Trial SemiLight"/>
          <w:color w:val="004852"/>
          <w:sz w:val="20"/>
          <w:highlight w:val="yellow"/>
        </w:rPr>
        <w:t>Negligent misstatement</w:t>
      </w:r>
    </w:p>
    <w:p w14:paraId="68CEE0B8" w14:textId="77777777" w:rsidR="00F008C7" w:rsidRPr="001B3690" w:rsidRDefault="00F008C7" w:rsidP="00F008C7">
      <w:pPr>
        <w:ind w:left="720"/>
        <w:rPr>
          <w:rFonts w:ascii="TheMix Trial SemiLight" w:hAnsi="TheMix Trial SemiLight"/>
          <w:color w:val="004852"/>
          <w:sz w:val="20"/>
        </w:rPr>
      </w:pPr>
    </w:p>
    <w:p w14:paraId="638FD1C7" w14:textId="77777777" w:rsidR="00F008C7" w:rsidRDefault="00F008C7" w:rsidP="00F008C7">
      <w:pPr>
        <w:rPr>
          <w:rFonts w:ascii="TheMix Trial SemiLight" w:hAnsi="TheMix Trial SemiLight"/>
          <w:color w:val="004852"/>
          <w:sz w:val="20"/>
          <w:u w:val="single"/>
        </w:rPr>
      </w:pPr>
      <w:r w:rsidRPr="001B3690">
        <w:rPr>
          <w:rFonts w:ascii="TheMix Trial SemiLight" w:hAnsi="TheMix Trial SemiLight"/>
          <w:color w:val="004852"/>
          <w:sz w:val="20"/>
          <w:u w:val="single"/>
        </w:rPr>
        <w:t>Breach of contract</w:t>
      </w:r>
    </w:p>
    <w:p w14:paraId="1F6F9E74" w14:textId="77777777" w:rsidR="00F008C7" w:rsidRPr="001B3690" w:rsidRDefault="00F008C7" w:rsidP="00F008C7">
      <w:pPr>
        <w:rPr>
          <w:rFonts w:ascii="TheMix Trial SemiLight" w:hAnsi="TheMix Trial SemiLight"/>
          <w:color w:val="004852"/>
          <w:sz w:val="20"/>
          <w:u w:val="single"/>
        </w:rPr>
      </w:pPr>
    </w:p>
    <w:p w14:paraId="181E95D8"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It is an implied term of a </w:t>
      </w:r>
      <w:hyperlink r:id="rId11" w:history="1">
        <w:r w:rsidRPr="001B3690">
          <w:rPr>
            <w:rStyle w:val="Hyperlink"/>
            <w:rFonts w:ascii="TheMix Trial SemiLight" w:hAnsi="TheMix Trial SemiLight"/>
            <w:color w:val="004852"/>
            <w:sz w:val="20"/>
            <w:u w:val="none"/>
          </w:rPr>
          <w:t>contract of employment</w:t>
        </w:r>
      </w:hyperlink>
      <w:r w:rsidRPr="001B3690">
        <w:rPr>
          <w:rFonts w:ascii="TheMix Trial SemiLight" w:hAnsi="TheMix Trial SemiLight"/>
          <w:color w:val="004852"/>
          <w:sz w:val="20"/>
        </w:rPr>
        <w:t xml:space="preserve"> that an employer will take all reasonable care in preparing a reference for an employee. </w:t>
      </w:r>
    </w:p>
    <w:p w14:paraId="686740CE" w14:textId="77777777" w:rsidR="00F008C7" w:rsidRDefault="00F008C7" w:rsidP="00F008C7">
      <w:pPr>
        <w:rPr>
          <w:rFonts w:ascii="TheMix Trial SemiLight" w:hAnsi="TheMix Trial SemiLight"/>
          <w:color w:val="004852"/>
          <w:sz w:val="20"/>
        </w:rPr>
      </w:pPr>
    </w:p>
    <w:p w14:paraId="5C2E07A9"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This applies even when the employment has ceased. </w:t>
      </w:r>
    </w:p>
    <w:p w14:paraId="6CE8BCA7" w14:textId="77777777" w:rsidR="00F008C7" w:rsidRDefault="00F008C7" w:rsidP="00F008C7">
      <w:pPr>
        <w:rPr>
          <w:rFonts w:ascii="TheMix Trial SemiLight" w:hAnsi="TheMix Trial SemiLight"/>
          <w:color w:val="004852"/>
          <w:sz w:val="20"/>
        </w:rPr>
      </w:pPr>
    </w:p>
    <w:p w14:paraId="379A3FD7"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This claim could either be a free-standing breach of contract claim or, if the subject of the reference remains an employee, it could amount to a fundamental breach entitling the employee to resign and claim constructive dismissal. </w:t>
      </w:r>
    </w:p>
    <w:p w14:paraId="338FE79C" w14:textId="77777777" w:rsidR="00F008C7" w:rsidRDefault="00F008C7" w:rsidP="00F008C7">
      <w:pPr>
        <w:rPr>
          <w:rFonts w:ascii="TheMix Trial SemiLight" w:hAnsi="TheMix Trial SemiLight"/>
          <w:color w:val="004852"/>
          <w:sz w:val="20"/>
        </w:rPr>
      </w:pPr>
    </w:p>
    <w:p w14:paraId="32B5109B"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A refusal to provide a reference might also amount to a breach of contract. </w:t>
      </w:r>
    </w:p>
    <w:p w14:paraId="674AE857" w14:textId="77777777" w:rsidR="00F008C7" w:rsidRDefault="00F008C7" w:rsidP="00F008C7">
      <w:pPr>
        <w:rPr>
          <w:rFonts w:ascii="TheMix Trial SemiLight" w:hAnsi="TheMix Trial SemiLight"/>
          <w:color w:val="004852"/>
          <w:sz w:val="20"/>
        </w:rPr>
      </w:pPr>
    </w:p>
    <w:p w14:paraId="3FC0503C"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This will depend on the circumstances. If the employer has a policy not to provide references, it is not likely there will be a breach. </w:t>
      </w:r>
    </w:p>
    <w:p w14:paraId="4FD2E696" w14:textId="77777777" w:rsidR="00F008C7" w:rsidRDefault="00F008C7" w:rsidP="00F008C7">
      <w:pPr>
        <w:rPr>
          <w:rFonts w:ascii="TheMix Trial SemiLight" w:hAnsi="TheMix Trial SemiLight"/>
          <w:color w:val="004852"/>
          <w:sz w:val="20"/>
        </w:rPr>
      </w:pPr>
    </w:p>
    <w:p w14:paraId="68E4EBB2"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If, however, it is the practice to provide a reference – refusal to do so might amount to a breach of contract.</w:t>
      </w:r>
    </w:p>
    <w:p w14:paraId="3132F863" w14:textId="77777777" w:rsidR="00F008C7" w:rsidRPr="001B3690" w:rsidRDefault="00F008C7" w:rsidP="00F008C7">
      <w:pPr>
        <w:rPr>
          <w:rFonts w:ascii="TheMix Trial SemiLight" w:hAnsi="TheMix Trial SemiLight"/>
          <w:color w:val="004852"/>
          <w:sz w:val="20"/>
        </w:rPr>
      </w:pPr>
    </w:p>
    <w:p w14:paraId="0B6FB6F3" w14:textId="77777777" w:rsidR="00F008C7" w:rsidRDefault="00F008C7" w:rsidP="00F008C7">
      <w:pPr>
        <w:rPr>
          <w:rFonts w:ascii="TheMix Trial SemiLight" w:hAnsi="TheMix Trial SemiLight"/>
          <w:color w:val="004852"/>
          <w:sz w:val="20"/>
          <w:u w:val="single"/>
        </w:rPr>
      </w:pPr>
      <w:r w:rsidRPr="001B3690">
        <w:rPr>
          <w:rFonts w:ascii="TheMix Trial SemiLight" w:hAnsi="TheMix Trial SemiLight"/>
          <w:color w:val="004852"/>
          <w:sz w:val="20"/>
          <w:u w:val="single"/>
        </w:rPr>
        <w:t>Discrimination</w:t>
      </w:r>
    </w:p>
    <w:p w14:paraId="57CA389B" w14:textId="77777777" w:rsidR="00F008C7" w:rsidRPr="001B3690" w:rsidRDefault="00F008C7" w:rsidP="00F008C7">
      <w:pPr>
        <w:rPr>
          <w:rFonts w:ascii="TheMix Trial SemiLight" w:hAnsi="TheMix Trial SemiLight"/>
          <w:color w:val="004852"/>
          <w:sz w:val="20"/>
          <w:u w:val="single"/>
        </w:rPr>
      </w:pPr>
    </w:p>
    <w:p w14:paraId="03EA7239"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It would be possible to bring a claim under the Equality Act 2010 in relation to an inaccurate reference.</w:t>
      </w:r>
    </w:p>
    <w:p w14:paraId="542C9500" w14:textId="77777777" w:rsidR="00F008C7" w:rsidRDefault="00F008C7" w:rsidP="00F008C7">
      <w:pPr>
        <w:rPr>
          <w:rFonts w:ascii="TheMix Trial SemiLight" w:hAnsi="TheMix Trial SemiLight"/>
          <w:color w:val="004852"/>
          <w:sz w:val="20"/>
        </w:rPr>
      </w:pPr>
    </w:p>
    <w:p w14:paraId="4D5D05DA"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The aggrieved employee or ex-employee would have to show that the reference was inaccurate because the claimant had a protected characteristic. </w:t>
      </w:r>
    </w:p>
    <w:p w14:paraId="04B668C5" w14:textId="77777777" w:rsidR="00F008C7" w:rsidRDefault="00F008C7" w:rsidP="00F008C7">
      <w:pPr>
        <w:rPr>
          <w:rFonts w:ascii="TheMix Trial SemiLight" w:hAnsi="TheMix Trial SemiLight"/>
          <w:color w:val="004852"/>
          <w:sz w:val="20"/>
        </w:rPr>
      </w:pPr>
    </w:p>
    <w:p w14:paraId="64DE089C"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Similarly, a refusal to provide a reference because the claimant had a protected characteristic would be discriminatory. </w:t>
      </w:r>
    </w:p>
    <w:p w14:paraId="34FD279B" w14:textId="77777777" w:rsidR="00F008C7" w:rsidRDefault="00F008C7" w:rsidP="00F008C7">
      <w:pPr>
        <w:rPr>
          <w:rFonts w:ascii="TheMix Trial SemiLight" w:hAnsi="TheMix Trial SemiLight"/>
          <w:color w:val="004852"/>
          <w:sz w:val="20"/>
        </w:rPr>
      </w:pPr>
    </w:p>
    <w:p w14:paraId="6EE54477"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The employee will first have to show they have a protected characteristic. </w:t>
      </w:r>
    </w:p>
    <w:p w14:paraId="6C807D4B" w14:textId="77777777" w:rsidR="00F008C7" w:rsidRDefault="00F008C7" w:rsidP="00F008C7">
      <w:pPr>
        <w:rPr>
          <w:rFonts w:ascii="TheMix Trial SemiLight" w:hAnsi="TheMix Trial SemiLight"/>
          <w:color w:val="004852"/>
          <w:sz w:val="20"/>
        </w:rPr>
      </w:pPr>
    </w:p>
    <w:p w14:paraId="18538E06"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These are: </w:t>
      </w:r>
    </w:p>
    <w:p w14:paraId="587C45AF"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age </w:t>
      </w:r>
    </w:p>
    <w:p w14:paraId="328A2BAF"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disability</w:t>
      </w:r>
    </w:p>
    <w:p w14:paraId="79BA9BA2"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gender reassignment</w:t>
      </w:r>
    </w:p>
    <w:p w14:paraId="06F18580"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marriage and civil partnership</w:t>
      </w:r>
    </w:p>
    <w:p w14:paraId="7A9B257C"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pregnancy and maternity</w:t>
      </w:r>
    </w:p>
    <w:p w14:paraId="2CFA09C6"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race</w:t>
      </w:r>
    </w:p>
    <w:p w14:paraId="0F55B0FF"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religion and belief</w:t>
      </w:r>
    </w:p>
    <w:p w14:paraId="6573E5B9"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sex</w:t>
      </w:r>
    </w:p>
    <w:p w14:paraId="2A40E82A"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 sexual orientation. </w:t>
      </w:r>
    </w:p>
    <w:p w14:paraId="171753B3" w14:textId="77777777" w:rsidR="00F008C7" w:rsidRDefault="00F008C7" w:rsidP="00F008C7">
      <w:pPr>
        <w:rPr>
          <w:rFonts w:ascii="TheMix Trial SemiLight" w:hAnsi="TheMix Trial SemiLight"/>
          <w:color w:val="004852"/>
          <w:sz w:val="20"/>
        </w:rPr>
      </w:pPr>
    </w:p>
    <w:p w14:paraId="74F2B598"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If the claimant can establish this, the employer will have to show that the refusal to provide a reference was not because of the protected characteristic; or that the wording of the reference was factually correct or that any disputed wording in the reference was not because of the claimant’s protected characteristic.</w:t>
      </w:r>
    </w:p>
    <w:p w14:paraId="1E2D7192" w14:textId="77777777" w:rsidR="00F008C7" w:rsidRPr="001B3690" w:rsidRDefault="00F008C7" w:rsidP="00F008C7">
      <w:pPr>
        <w:rPr>
          <w:rFonts w:ascii="TheMix Trial SemiLight" w:hAnsi="TheMix Trial SemiLight"/>
          <w:color w:val="004852"/>
          <w:sz w:val="20"/>
        </w:rPr>
      </w:pPr>
    </w:p>
    <w:p w14:paraId="506AB080"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Further, tribunals are entitled, in the absence of clear-cut evidence of discrimination, to draw inferences from the primary facts that there has been discrimination. </w:t>
      </w:r>
    </w:p>
    <w:p w14:paraId="2801FCC3" w14:textId="77777777" w:rsidR="00F008C7" w:rsidRDefault="00F008C7" w:rsidP="00F008C7">
      <w:pPr>
        <w:rPr>
          <w:rFonts w:ascii="TheMix Trial SemiLight" w:hAnsi="TheMix Trial SemiLight"/>
          <w:color w:val="004852"/>
          <w:sz w:val="20"/>
        </w:rPr>
      </w:pPr>
    </w:p>
    <w:p w14:paraId="6F4A8BA5"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If the tribunal concludes a reference is inaccurate and detrimental to the claimant and the employer cannot establish this was for a reason unconnected with the protected characteristic, the tribunal can conclude without direct evidence that the reason for the inaccurate reference was discrimination.</w:t>
      </w:r>
    </w:p>
    <w:p w14:paraId="19DC2BBC" w14:textId="77777777" w:rsidR="00F008C7" w:rsidRPr="001B3690" w:rsidRDefault="00F008C7" w:rsidP="00F008C7">
      <w:pPr>
        <w:rPr>
          <w:rFonts w:ascii="TheMix Trial SemiLight" w:hAnsi="TheMix Trial SemiLight"/>
          <w:color w:val="004852"/>
          <w:sz w:val="20"/>
        </w:rPr>
      </w:pPr>
    </w:p>
    <w:p w14:paraId="2E868944" w14:textId="77777777" w:rsidR="00F008C7" w:rsidRDefault="00F008C7" w:rsidP="00F008C7">
      <w:pPr>
        <w:rPr>
          <w:rFonts w:ascii="TheMix Trial SemiLight" w:hAnsi="TheMix Trial SemiLight"/>
          <w:color w:val="004852"/>
          <w:sz w:val="20"/>
          <w:u w:val="single"/>
        </w:rPr>
      </w:pPr>
      <w:r w:rsidRPr="001B3690">
        <w:rPr>
          <w:rFonts w:ascii="TheMix Trial SemiLight" w:hAnsi="TheMix Trial SemiLight"/>
          <w:color w:val="004852"/>
          <w:sz w:val="20"/>
          <w:u w:val="single"/>
        </w:rPr>
        <w:t>Defamation</w:t>
      </w:r>
    </w:p>
    <w:p w14:paraId="7A4CB17E" w14:textId="77777777" w:rsidR="00F008C7" w:rsidRPr="001B3690" w:rsidRDefault="00F008C7" w:rsidP="00F008C7">
      <w:pPr>
        <w:rPr>
          <w:rFonts w:ascii="TheMix Trial SemiLight" w:hAnsi="TheMix Trial SemiLight"/>
          <w:color w:val="004852"/>
          <w:sz w:val="20"/>
          <w:u w:val="single"/>
        </w:rPr>
      </w:pPr>
    </w:p>
    <w:p w14:paraId="6B422D06"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Defamation is an untrue statement that disparages the reputation of a person in the estimation of </w:t>
      </w:r>
      <w:proofErr w:type="gramStart"/>
      <w:r w:rsidRPr="001B3690">
        <w:rPr>
          <w:rFonts w:ascii="TheMix Trial SemiLight" w:hAnsi="TheMix Trial SemiLight"/>
          <w:color w:val="004852"/>
          <w:sz w:val="20"/>
        </w:rPr>
        <w:t>right thinking</w:t>
      </w:r>
      <w:proofErr w:type="gramEnd"/>
      <w:r w:rsidRPr="001B3690">
        <w:rPr>
          <w:rFonts w:ascii="TheMix Trial SemiLight" w:hAnsi="TheMix Trial SemiLight"/>
          <w:color w:val="004852"/>
          <w:sz w:val="20"/>
        </w:rPr>
        <w:t xml:space="preserve"> members of society. </w:t>
      </w:r>
    </w:p>
    <w:p w14:paraId="64C641ED" w14:textId="77777777" w:rsidR="00F008C7" w:rsidRDefault="00F008C7" w:rsidP="00F008C7">
      <w:pPr>
        <w:rPr>
          <w:rFonts w:ascii="TheMix Trial SemiLight" w:hAnsi="TheMix Trial SemiLight"/>
          <w:color w:val="004852"/>
          <w:sz w:val="20"/>
        </w:rPr>
      </w:pPr>
    </w:p>
    <w:p w14:paraId="24DC1FF4"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Where the statement is in a permanent form (for example, in a written reference) it would be libel and where it is in a transitory form (for example, in an oral reference), it would be slander.</w:t>
      </w:r>
    </w:p>
    <w:p w14:paraId="2BC29AF9" w14:textId="77777777" w:rsidR="00F008C7" w:rsidRDefault="00F008C7" w:rsidP="00F008C7">
      <w:pPr>
        <w:rPr>
          <w:rFonts w:ascii="TheMix Trial SemiLight" w:hAnsi="TheMix Trial SemiLight"/>
          <w:color w:val="004852"/>
          <w:sz w:val="20"/>
        </w:rPr>
      </w:pPr>
    </w:p>
    <w:p w14:paraId="63C0194C"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Referees must, therefore, be able to justify and support any comments made in a reference and show either that they are true or that they honestly believe that the contents of a reference are true.</w:t>
      </w:r>
    </w:p>
    <w:p w14:paraId="5B976674" w14:textId="77777777" w:rsidR="00F008C7" w:rsidRDefault="00F008C7" w:rsidP="00F008C7">
      <w:pPr>
        <w:rPr>
          <w:rFonts w:ascii="TheMix Trial SemiLight" w:hAnsi="TheMix Trial SemiLight"/>
          <w:color w:val="004852"/>
          <w:sz w:val="20"/>
        </w:rPr>
      </w:pPr>
    </w:p>
    <w:p w14:paraId="5A4254EB"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The law in relation to defamation is complex and for this reason, claims of this type are rare.</w:t>
      </w:r>
    </w:p>
    <w:p w14:paraId="3DC0A0F9" w14:textId="77777777" w:rsidR="00F008C7" w:rsidRPr="001B3690" w:rsidRDefault="00F008C7" w:rsidP="00F008C7">
      <w:pPr>
        <w:rPr>
          <w:rFonts w:ascii="TheMix Trial SemiLight" w:hAnsi="TheMix Trial SemiLight"/>
          <w:color w:val="004852"/>
          <w:sz w:val="20"/>
          <w:u w:val="single"/>
        </w:rPr>
      </w:pPr>
    </w:p>
    <w:p w14:paraId="21EC55FD" w14:textId="77777777" w:rsidR="00F008C7" w:rsidRDefault="00F008C7" w:rsidP="00F008C7">
      <w:pPr>
        <w:rPr>
          <w:rFonts w:ascii="TheMix Trial SemiLight" w:hAnsi="TheMix Trial SemiLight"/>
          <w:color w:val="004852"/>
          <w:sz w:val="20"/>
          <w:u w:val="single"/>
        </w:rPr>
      </w:pPr>
      <w:r w:rsidRPr="001B3690">
        <w:rPr>
          <w:rFonts w:ascii="TheMix Trial SemiLight" w:hAnsi="TheMix Trial SemiLight"/>
          <w:color w:val="004852"/>
          <w:sz w:val="20"/>
          <w:u w:val="single"/>
        </w:rPr>
        <w:t>Malicious falsehood</w:t>
      </w:r>
    </w:p>
    <w:p w14:paraId="02AB831C" w14:textId="77777777" w:rsidR="00F008C7" w:rsidRPr="001B3690" w:rsidRDefault="00F008C7" w:rsidP="00F008C7">
      <w:pPr>
        <w:rPr>
          <w:rFonts w:ascii="TheMix Trial SemiLight" w:hAnsi="TheMix Trial SemiLight"/>
          <w:color w:val="004852"/>
          <w:sz w:val="20"/>
          <w:u w:val="single"/>
        </w:rPr>
      </w:pPr>
    </w:p>
    <w:p w14:paraId="08D1857E"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An individual may also have a claim for malicious falsehood against a referee if they can show that the reference contains untrue words that were published maliciously. </w:t>
      </w:r>
    </w:p>
    <w:p w14:paraId="68FAEEB7" w14:textId="77777777" w:rsidR="00F008C7" w:rsidRDefault="00F008C7" w:rsidP="00F008C7">
      <w:pPr>
        <w:rPr>
          <w:rFonts w:ascii="TheMix Trial SemiLight" w:hAnsi="TheMix Trial SemiLight"/>
          <w:color w:val="004852"/>
          <w:sz w:val="20"/>
        </w:rPr>
      </w:pPr>
    </w:p>
    <w:p w14:paraId="7DA4DF4C"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Malice in this context means that the referee either knew that the statements were untrue or was reckless as to whether they were true or not. </w:t>
      </w:r>
    </w:p>
    <w:p w14:paraId="39176F0E" w14:textId="77777777" w:rsidR="00F008C7" w:rsidRDefault="00F008C7" w:rsidP="00F008C7">
      <w:pPr>
        <w:rPr>
          <w:rFonts w:ascii="TheMix Trial SemiLight" w:hAnsi="TheMix Trial SemiLight"/>
          <w:color w:val="004852"/>
          <w:sz w:val="20"/>
        </w:rPr>
      </w:pPr>
    </w:p>
    <w:p w14:paraId="530C3D15"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The primary difference between malicious falsehood and defamation is that defamation compensates the claimant for loss of reputation and malicious falsehood compensates for economic/financial loss. </w:t>
      </w:r>
    </w:p>
    <w:p w14:paraId="17903608" w14:textId="77777777" w:rsidR="00F008C7" w:rsidRDefault="00F008C7" w:rsidP="00F008C7">
      <w:pPr>
        <w:rPr>
          <w:rFonts w:ascii="TheMix Trial SemiLight" w:hAnsi="TheMix Trial SemiLight"/>
          <w:color w:val="004852"/>
          <w:sz w:val="20"/>
        </w:rPr>
      </w:pPr>
    </w:p>
    <w:p w14:paraId="12759DDC"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In this context, this is likely to relate from financial loss arising from a job offer being withdrawn because of the nature of the references. </w:t>
      </w:r>
    </w:p>
    <w:p w14:paraId="4535C94D" w14:textId="77777777" w:rsidR="00F008C7" w:rsidRDefault="00F008C7" w:rsidP="00F008C7">
      <w:pPr>
        <w:rPr>
          <w:rFonts w:ascii="TheMix Trial SemiLight" w:hAnsi="TheMix Trial SemiLight"/>
          <w:color w:val="004852"/>
          <w:sz w:val="20"/>
        </w:rPr>
      </w:pPr>
    </w:p>
    <w:p w14:paraId="3B787AA5"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It would be possible to bring both claims simultaneously.</w:t>
      </w:r>
    </w:p>
    <w:p w14:paraId="1805E675" w14:textId="77777777" w:rsidR="00F008C7" w:rsidRPr="001B3690" w:rsidRDefault="00F008C7" w:rsidP="00F008C7">
      <w:pPr>
        <w:rPr>
          <w:rFonts w:ascii="TheMix Trial SemiLight" w:hAnsi="TheMix Trial SemiLight"/>
          <w:color w:val="004852"/>
          <w:sz w:val="20"/>
          <w:u w:val="single"/>
        </w:rPr>
      </w:pPr>
    </w:p>
    <w:p w14:paraId="3566DA2A" w14:textId="77777777" w:rsidR="00F008C7" w:rsidRDefault="00F008C7" w:rsidP="00F008C7">
      <w:pPr>
        <w:rPr>
          <w:rFonts w:ascii="TheMix Trial SemiLight" w:hAnsi="TheMix Trial SemiLight"/>
          <w:color w:val="004852"/>
          <w:sz w:val="20"/>
          <w:u w:val="single"/>
        </w:rPr>
      </w:pPr>
      <w:r w:rsidRPr="001B3690">
        <w:rPr>
          <w:rFonts w:ascii="TheMix Trial SemiLight" w:hAnsi="TheMix Trial SemiLight"/>
          <w:color w:val="004852"/>
          <w:sz w:val="20"/>
          <w:u w:val="single"/>
        </w:rPr>
        <w:t>Negligent misstatement</w:t>
      </w:r>
    </w:p>
    <w:p w14:paraId="45CC57EC" w14:textId="77777777" w:rsidR="00F008C7" w:rsidRPr="001B3690" w:rsidRDefault="00F008C7" w:rsidP="00F008C7">
      <w:pPr>
        <w:rPr>
          <w:rFonts w:ascii="TheMix Trial SemiLight" w:hAnsi="TheMix Trial SemiLight"/>
          <w:color w:val="004852"/>
          <w:sz w:val="20"/>
          <w:u w:val="single"/>
        </w:rPr>
      </w:pPr>
    </w:p>
    <w:p w14:paraId="4B55CA55"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When an employer provides an inaccurate reference, it can be sued for negligence. </w:t>
      </w:r>
    </w:p>
    <w:p w14:paraId="353FF14D" w14:textId="77777777" w:rsidR="00F008C7" w:rsidRDefault="00F008C7" w:rsidP="00F008C7">
      <w:pPr>
        <w:rPr>
          <w:rFonts w:ascii="TheMix Trial SemiLight" w:hAnsi="TheMix Trial SemiLight"/>
          <w:color w:val="004852"/>
          <w:sz w:val="20"/>
        </w:rPr>
      </w:pPr>
    </w:p>
    <w:p w14:paraId="7118E951"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lastRenderedPageBreak/>
        <w:t xml:space="preserve">An employer who provides a reference owes its employee, or former employee, a duty to take reasonable care in the preparation of the reference, a failure to do so would make the employer liable if the employee suffered damage </w:t>
      </w:r>
      <w:proofErr w:type="gramStart"/>
      <w:r w:rsidRPr="001B3690">
        <w:rPr>
          <w:rFonts w:ascii="TheMix Trial SemiLight" w:hAnsi="TheMix Trial SemiLight"/>
          <w:color w:val="004852"/>
          <w:sz w:val="20"/>
        </w:rPr>
        <w:t>as a result of</w:t>
      </w:r>
      <w:proofErr w:type="gramEnd"/>
      <w:r w:rsidRPr="001B3690">
        <w:rPr>
          <w:rFonts w:ascii="TheMix Trial SemiLight" w:hAnsi="TheMix Trial SemiLight"/>
          <w:color w:val="004852"/>
          <w:sz w:val="20"/>
        </w:rPr>
        <w:t xml:space="preserve"> the reference.</w:t>
      </w:r>
    </w:p>
    <w:p w14:paraId="63BBBA2A" w14:textId="77777777" w:rsidR="00F008C7" w:rsidRDefault="00F008C7" w:rsidP="00F008C7">
      <w:pPr>
        <w:rPr>
          <w:rFonts w:ascii="TheMix Trial SemiLight" w:hAnsi="TheMix Trial SemiLight"/>
          <w:color w:val="004852"/>
          <w:sz w:val="20"/>
        </w:rPr>
      </w:pPr>
    </w:p>
    <w:p w14:paraId="33E1D345"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The duty extends to ensuring the accuracy of the facts upon which any opinion expressed in the reference is based. </w:t>
      </w:r>
    </w:p>
    <w:p w14:paraId="7972DB20" w14:textId="77777777" w:rsidR="00F008C7" w:rsidRDefault="00F008C7" w:rsidP="00F008C7">
      <w:pPr>
        <w:rPr>
          <w:rFonts w:ascii="TheMix Trial SemiLight" w:hAnsi="TheMix Trial SemiLight"/>
          <w:color w:val="004852"/>
          <w:sz w:val="20"/>
        </w:rPr>
      </w:pPr>
    </w:p>
    <w:p w14:paraId="464D4B64"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The court must ask itself whether a reasonably prudent employer would have expressed the opinions which are stated in that </w:t>
      </w:r>
      <w:proofErr w:type="gramStart"/>
      <w:r w:rsidRPr="001B3690">
        <w:rPr>
          <w:rFonts w:ascii="TheMix Trial SemiLight" w:hAnsi="TheMix Trial SemiLight"/>
          <w:color w:val="004852"/>
          <w:sz w:val="20"/>
        </w:rPr>
        <w:t>particular reference</w:t>
      </w:r>
      <w:proofErr w:type="gramEnd"/>
      <w:r w:rsidRPr="001B3690">
        <w:rPr>
          <w:rFonts w:ascii="TheMix Trial SemiLight" w:hAnsi="TheMix Trial SemiLight"/>
          <w:color w:val="004852"/>
          <w:sz w:val="20"/>
        </w:rPr>
        <w:t>.</w:t>
      </w:r>
    </w:p>
    <w:p w14:paraId="1E522368" w14:textId="77777777" w:rsidR="00F008C7" w:rsidRPr="001B3690" w:rsidRDefault="00F008C7" w:rsidP="00F008C7">
      <w:pPr>
        <w:rPr>
          <w:rFonts w:ascii="TheMix Trial SemiLight" w:hAnsi="TheMix Trial SemiLight"/>
          <w:color w:val="004852"/>
          <w:sz w:val="20"/>
        </w:rPr>
      </w:pPr>
    </w:p>
    <w:p w14:paraId="50250BB8"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Many of the cases relating to negligent misstatement relate to references that contain information about </w:t>
      </w:r>
      <w:hyperlink r:id="rId12" w:tooltip="Guide to disciplinary proceedings" w:history="1">
        <w:r w:rsidRPr="00D40D10">
          <w:rPr>
            <w:rStyle w:val="Hyperlink"/>
            <w:rFonts w:ascii="TheMix Trial SemiLight" w:hAnsi="TheMix Trial SemiLight"/>
            <w:color w:val="004852"/>
            <w:sz w:val="20"/>
            <w:highlight w:val="yellow"/>
            <w:u w:val="none"/>
          </w:rPr>
          <w:t>disciplinary proceedings</w:t>
        </w:r>
      </w:hyperlink>
      <w:r w:rsidRPr="001B3690">
        <w:rPr>
          <w:rFonts w:ascii="TheMix Trial SemiLight" w:hAnsi="TheMix Trial SemiLight"/>
          <w:color w:val="004852"/>
          <w:sz w:val="20"/>
        </w:rPr>
        <w:t> that were incomplete when the employee left the business, sometimes by mutual consent, sometimes by resignation.</w:t>
      </w:r>
    </w:p>
    <w:p w14:paraId="383F81DD" w14:textId="77777777" w:rsidR="00F008C7" w:rsidRPr="001B3690" w:rsidRDefault="00F008C7" w:rsidP="00F008C7">
      <w:pPr>
        <w:rPr>
          <w:rFonts w:ascii="TheMix Trial SemiLight" w:hAnsi="TheMix Trial SemiLight"/>
          <w:color w:val="004852"/>
          <w:sz w:val="20"/>
        </w:rPr>
      </w:pPr>
    </w:p>
    <w:p w14:paraId="7765C3F6"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It is possible to include a disclaimer in a reference to avoid liability to the recipient of the reference, although whether this is effective will always depend on the fact. Here is an example of wording for a standard disclaimer:</w:t>
      </w:r>
    </w:p>
    <w:p w14:paraId="161BBBEA" w14:textId="77777777" w:rsidR="00F008C7" w:rsidRPr="001B3690" w:rsidRDefault="00F008C7" w:rsidP="00F008C7">
      <w:pPr>
        <w:rPr>
          <w:rFonts w:ascii="TheMix Trial SemiLight" w:hAnsi="TheMix Trial SemiLight"/>
          <w:color w:val="004852"/>
          <w:sz w:val="20"/>
        </w:rPr>
      </w:pPr>
    </w:p>
    <w:p w14:paraId="4104CA1D"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“This reference is given to the addressee in confidence and only for the purposes for which it was requested. It is given in good faith, and on the basis of the information available to the employer at the time it is given, but neither the writer nor [NAME OF EMPLOYER] accepts any responsibility or liability for any loss or damage caused to the addressee or any third party as a result of any reliance being placed on it.”</w:t>
      </w:r>
    </w:p>
    <w:p w14:paraId="6FCA86A9" w14:textId="77777777" w:rsidR="00F008C7" w:rsidRPr="001B3690" w:rsidRDefault="00F008C7" w:rsidP="00F008C7">
      <w:pPr>
        <w:rPr>
          <w:rFonts w:ascii="TheMix Trial SemiLight" w:hAnsi="TheMix Trial SemiLight"/>
          <w:color w:val="004852"/>
          <w:sz w:val="20"/>
        </w:rPr>
      </w:pPr>
    </w:p>
    <w:p w14:paraId="479CF037" w14:textId="77777777" w:rsidR="00F008C7" w:rsidRPr="00B94DE7" w:rsidRDefault="00F008C7" w:rsidP="00F008C7">
      <w:pPr>
        <w:rPr>
          <w:rFonts w:ascii="TheMix Trial SemiLight" w:hAnsi="TheMix Trial SemiLight"/>
          <w:color w:val="004852"/>
          <w:sz w:val="20"/>
          <w:u w:val="single"/>
        </w:rPr>
      </w:pPr>
      <w:r w:rsidRPr="00B94DE7">
        <w:rPr>
          <w:rFonts w:ascii="TheMix Trial SemiLight" w:hAnsi="TheMix Trial SemiLight"/>
          <w:color w:val="004852"/>
          <w:sz w:val="20"/>
          <w:u w:val="single"/>
        </w:rPr>
        <w:t>How does Data Protection apply to the giving of References?</w:t>
      </w:r>
    </w:p>
    <w:p w14:paraId="6AB83A55" w14:textId="77777777" w:rsidR="00F008C7" w:rsidRPr="001B3690" w:rsidRDefault="00F008C7" w:rsidP="00F008C7">
      <w:pPr>
        <w:rPr>
          <w:rFonts w:ascii="TheMix Trial SemiLight" w:hAnsi="TheMix Trial SemiLight"/>
          <w:b/>
          <w:bCs/>
          <w:color w:val="004852"/>
          <w:sz w:val="20"/>
          <w:u w:val="single"/>
        </w:rPr>
      </w:pPr>
    </w:p>
    <w:p w14:paraId="38A2AC3E"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Data Protection legislation applies to references provided by an employer. </w:t>
      </w:r>
    </w:p>
    <w:p w14:paraId="53B68670" w14:textId="77777777" w:rsidR="00F008C7" w:rsidRDefault="00F008C7" w:rsidP="00F008C7">
      <w:pPr>
        <w:rPr>
          <w:rFonts w:ascii="TheMix Trial SemiLight" w:hAnsi="TheMix Trial SemiLight"/>
          <w:color w:val="004852"/>
          <w:sz w:val="20"/>
        </w:rPr>
      </w:pPr>
    </w:p>
    <w:p w14:paraId="1C504E35"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The provision of a reference is subject to the eight data protection principles. </w:t>
      </w:r>
    </w:p>
    <w:p w14:paraId="4FD500B9" w14:textId="77777777" w:rsidR="00F008C7" w:rsidRDefault="00F008C7" w:rsidP="00F008C7">
      <w:pPr>
        <w:rPr>
          <w:rFonts w:ascii="TheMix Trial SemiLight" w:hAnsi="TheMix Trial SemiLight"/>
          <w:color w:val="004852"/>
          <w:sz w:val="20"/>
        </w:rPr>
      </w:pPr>
    </w:p>
    <w:p w14:paraId="39899F43"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These can be found in our </w:t>
      </w:r>
      <w:hyperlink r:id="rId13" w:tooltip="Guide to the General Data Protection Regulations (GDPR)" w:history="1">
        <w:r w:rsidRPr="00D40D10">
          <w:rPr>
            <w:rStyle w:val="Hyperlink"/>
            <w:rFonts w:ascii="TheMix Trial SemiLight" w:hAnsi="TheMix Trial SemiLight"/>
            <w:color w:val="004852"/>
            <w:sz w:val="20"/>
            <w:highlight w:val="yellow"/>
            <w:u w:val="none"/>
          </w:rPr>
          <w:t>Data Protection Guide</w:t>
        </w:r>
      </w:hyperlink>
      <w:r w:rsidRPr="001B3690">
        <w:rPr>
          <w:rFonts w:ascii="TheMix Trial SemiLight" w:hAnsi="TheMix Trial SemiLight"/>
          <w:color w:val="004852"/>
          <w:sz w:val="20"/>
        </w:rPr>
        <w:t>.</w:t>
      </w:r>
    </w:p>
    <w:p w14:paraId="6FAF8FF3" w14:textId="77777777" w:rsidR="00F008C7" w:rsidRPr="001B3690" w:rsidRDefault="00F008C7" w:rsidP="00F008C7">
      <w:pPr>
        <w:rPr>
          <w:rFonts w:ascii="TheMix Trial SemiLight" w:hAnsi="TheMix Trial SemiLight"/>
          <w:color w:val="004852"/>
          <w:sz w:val="20"/>
        </w:rPr>
      </w:pPr>
    </w:p>
    <w:p w14:paraId="3D324979"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Part 2 of the information Commissioner’s Employment Practices Code states that employers should:</w:t>
      </w:r>
    </w:p>
    <w:p w14:paraId="4D398BE3" w14:textId="77777777" w:rsidR="00F008C7" w:rsidRDefault="00F008C7" w:rsidP="00F008C7">
      <w:pPr>
        <w:numPr>
          <w:ilvl w:val="0"/>
          <w:numId w:val="32"/>
        </w:numPr>
        <w:rPr>
          <w:rFonts w:ascii="TheMix Trial SemiLight" w:hAnsi="TheMix Trial SemiLight"/>
          <w:color w:val="004852"/>
          <w:sz w:val="20"/>
        </w:rPr>
      </w:pPr>
      <w:r w:rsidRPr="001B3690">
        <w:rPr>
          <w:rFonts w:ascii="TheMix Trial SemiLight" w:hAnsi="TheMix Trial SemiLight"/>
          <w:color w:val="004852"/>
          <w:sz w:val="20"/>
        </w:rPr>
        <w:t xml:space="preserve">Draw up and publicise a clear policy regarding which employees can provide corporate references and in what </w:t>
      </w:r>
      <w:proofErr w:type="gramStart"/>
      <w:r w:rsidRPr="001B3690">
        <w:rPr>
          <w:rFonts w:ascii="TheMix Trial SemiLight" w:hAnsi="TheMix Trial SemiLight"/>
          <w:color w:val="004852"/>
          <w:sz w:val="20"/>
        </w:rPr>
        <w:t>circumstances;</w:t>
      </w:r>
      <w:proofErr w:type="gramEnd"/>
    </w:p>
    <w:p w14:paraId="33B850A4" w14:textId="77777777" w:rsidR="00F008C7" w:rsidRPr="001B3690" w:rsidRDefault="00F008C7" w:rsidP="00F008C7">
      <w:pPr>
        <w:ind w:left="720"/>
        <w:rPr>
          <w:rFonts w:ascii="TheMix Trial SemiLight" w:hAnsi="TheMix Trial SemiLight"/>
          <w:color w:val="004852"/>
          <w:sz w:val="20"/>
        </w:rPr>
      </w:pPr>
    </w:p>
    <w:p w14:paraId="40FA80DD" w14:textId="77777777" w:rsidR="00F008C7" w:rsidRDefault="00F008C7" w:rsidP="00F008C7">
      <w:pPr>
        <w:numPr>
          <w:ilvl w:val="0"/>
          <w:numId w:val="32"/>
        </w:numPr>
        <w:rPr>
          <w:rFonts w:ascii="TheMix Trial SemiLight" w:hAnsi="TheMix Trial SemiLight"/>
          <w:color w:val="004852"/>
          <w:sz w:val="20"/>
        </w:rPr>
      </w:pPr>
      <w:r w:rsidRPr="001B3690">
        <w:rPr>
          <w:rFonts w:ascii="TheMix Trial SemiLight" w:hAnsi="TheMix Trial SemiLight"/>
          <w:color w:val="004852"/>
          <w:sz w:val="20"/>
        </w:rPr>
        <w:t>Not provide confidential references about a worker unless the employer is sure that the worker consents to this course of action; and</w:t>
      </w:r>
    </w:p>
    <w:p w14:paraId="652E7D98" w14:textId="77777777" w:rsidR="00F008C7" w:rsidRPr="001B3690" w:rsidRDefault="00F008C7" w:rsidP="00F008C7">
      <w:pPr>
        <w:rPr>
          <w:rFonts w:ascii="TheMix Trial SemiLight" w:hAnsi="TheMix Trial SemiLight"/>
          <w:color w:val="004852"/>
          <w:sz w:val="20"/>
        </w:rPr>
      </w:pPr>
    </w:p>
    <w:p w14:paraId="43950BDB" w14:textId="77777777" w:rsidR="00F008C7" w:rsidRPr="001B3690" w:rsidRDefault="00F008C7" w:rsidP="00F008C7">
      <w:pPr>
        <w:numPr>
          <w:ilvl w:val="0"/>
          <w:numId w:val="32"/>
        </w:numPr>
        <w:rPr>
          <w:rFonts w:ascii="TheMix Trial SemiLight" w:hAnsi="TheMix Trial SemiLight"/>
          <w:color w:val="004852"/>
          <w:sz w:val="20"/>
        </w:rPr>
      </w:pPr>
      <w:r w:rsidRPr="001B3690">
        <w:rPr>
          <w:rFonts w:ascii="TheMix Trial SemiLight" w:hAnsi="TheMix Trial SemiLight"/>
          <w:color w:val="004852"/>
          <w:sz w:val="20"/>
        </w:rPr>
        <w:t xml:space="preserve">Care should be taken in providing information about an employee’s sickness record as information regarding an individual’s health is sensitive personal data. To disclose this type of information specific consent is required from the employee concerned. If an employer is requested to disclose the number of day’s absence that an </w:t>
      </w:r>
      <w:proofErr w:type="gramStart"/>
      <w:r w:rsidRPr="001B3690">
        <w:rPr>
          <w:rFonts w:ascii="TheMix Trial SemiLight" w:hAnsi="TheMix Trial SemiLight"/>
          <w:color w:val="004852"/>
          <w:sz w:val="20"/>
        </w:rPr>
        <w:t>employees</w:t>
      </w:r>
      <w:proofErr w:type="gramEnd"/>
      <w:r w:rsidRPr="001B3690">
        <w:rPr>
          <w:rFonts w:ascii="TheMix Trial SemiLight" w:hAnsi="TheMix Trial SemiLight"/>
          <w:color w:val="004852"/>
          <w:sz w:val="20"/>
        </w:rPr>
        <w:t xml:space="preserve"> has had, this is unlikely to be considered sensitive personal data, but any request that required providing information about medical conditions certainly would be and would require consent.</w:t>
      </w:r>
    </w:p>
    <w:p w14:paraId="47F4B004" w14:textId="77777777" w:rsidR="00F008C7" w:rsidRPr="001B3690" w:rsidRDefault="00F008C7" w:rsidP="00F008C7">
      <w:pPr>
        <w:rPr>
          <w:rFonts w:ascii="TheMix Trial SemiLight" w:hAnsi="TheMix Trial SemiLight"/>
          <w:color w:val="004852"/>
          <w:sz w:val="20"/>
          <w:u w:val="single"/>
        </w:rPr>
      </w:pPr>
    </w:p>
    <w:p w14:paraId="11117308" w14:textId="77777777" w:rsidR="00F008C7" w:rsidRDefault="00F008C7" w:rsidP="00F008C7">
      <w:pPr>
        <w:rPr>
          <w:rFonts w:ascii="TheMix Trial SemiLight" w:hAnsi="TheMix Trial SemiLight"/>
          <w:color w:val="004852"/>
          <w:sz w:val="20"/>
          <w:u w:val="single"/>
        </w:rPr>
      </w:pPr>
      <w:r w:rsidRPr="001B3690">
        <w:rPr>
          <w:rFonts w:ascii="TheMix Trial SemiLight" w:hAnsi="TheMix Trial SemiLight"/>
          <w:color w:val="004852"/>
          <w:sz w:val="20"/>
          <w:u w:val="single"/>
        </w:rPr>
        <w:lastRenderedPageBreak/>
        <w:t>Requests from Authorised Officers of Jobcentre Plus</w:t>
      </w:r>
    </w:p>
    <w:p w14:paraId="6576AAC2" w14:textId="77777777" w:rsidR="00F008C7" w:rsidRPr="001B3690" w:rsidRDefault="00F008C7" w:rsidP="00F008C7">
      <w:pPr>
        <w:rPr>
          <w:rFonts w:ascii="TheMix Trial SemiLight" w:hAnsi="TheMix Trial SemiLight"/>
          <w:color w:val="004852"/>
          <w:sz w:val="20"/>
          <w:u w:val="single"/>
        </w:rPr>
      </w:pPr>
    </w:p>
    <w:p w14:paraId="1481BECE" w14:textId="77777777" w:rsidR="00F008C7"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 xml:space="preserve">A Job Seekers Plus Authorised Officer may make a written request for specified information relating to an applicant's previous employment under section 1) of the Social Security Administration Act 1992. </w:t>
      </w:r>
    </w:p>
    <w:p w14:paraId="50818EA5" w14:textId="77777777" w:rsidR="00F008C7" w:rsidRDefault="00F008C7" w:rsidP="00F008C7">
      <w:pPr>
        <w:rPr>
          <w:rFonts w:ascii="TheMix Trial SemiLight" w:hAnsi="TheMix Trial SemiLight"/>
          <w:color w:val="004852"/>
          <w:sz w:val="20"/>
        </w:rPr>
      </w:pPr>
    </w:p>
    <w:p w14:paraId="154A376C" w14:textId="77777777" w:rsidR="00F008C7" w:rsidRPr="001B3690" w:rsidRDefault="00F008C7" w:rsidP="00F008C7">
      <w:pPr>
        <w:rPr>
          <w:rFonts w:ascii="TheMix Trial SemiLight" w:hAnsi="TheMix Trial SemiLight"/>
          <w:color w:val="004852"/>
          <w:sz w:val="20"/>
        </w:rPr>
      </w:pPr>
      <w:r w:rsidRPr="001B3690">
        <w:rPr>
          <w:rFonts w:ascii="TheMix Trial SemiLight" w:hAnsi="TheMix Trial SemiLight"/>
          <w:color w:val="004852"/>
          <w:sz w:val="20"/>
        </w:rPr>
        <w:t>This provides that the previous employer is under a legal obligation to provide the information requested by the deadline specified. It is a criminal offence to delay or obstruct this process.</w:t>
      </w:r>
    </w:p>
    <w:p w14:paraId="5B3CD7CA" w14:textId="77777777" w:rsidR="00F008C7" w:rsidRPr="001B3690" w:rsidRDefault="00F008C7" w:rsidP="00F008C7">
      <w:pPr>
        <w:rPr>
          <w:rFonts w:ascii="TheMix Trial SemiLight" w:hAnsi="TheMix Trial SemiLight"/>
          <w:color w:val="004852"/>
          <w:sz w:val="20"/>
        </w:rPr>
      </w:pPr>
    </w:p>
    <w:p w14:paraId="677560BA" w14:textId="77777777" w:rsidR="00374FFD" w:rsidRPr="00454EAD" w:rsidRDefault="00374FFD" w:rsidP="00454EAD"/>
    <w:sectPr w:rsidR="00374FFD" w:rsidRPr="00454EAD" w:rsidSect="00161AC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93C8" w14:textId="77777777" w:rsidR="00F008C7" w:rsidRDefault="00F008C7" w:rsidP="00161ACA">
      <w:pPr>
        <w:spacing w:line="240" w:lineRule="auto"/>
      </w:pPr>
      <w:r>
        <w:separator/>
      </w:r>
    </w:p>
  </w:endnote>
  <w:endnote w:type="continuationSeparator" w:id="0">
    <w:p w14:paraId="67E03BDE" w14:textId="77777777" w:rsidR="00F008C7" w:rsidRDefault="00F008C7"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TheMix Trial SemiLight">
    <w:panose1 w:val="020B0402050302020203"/>
    <w:charset w:val="00"/>
    <w:family w:val="swiss"/>
    <w:notTrueType/>
    <w:pitch w:val="variable"/>
    <w:sig w:usb0="A0000007" w:usb1="00000002" w:usb2="00000000" w:usb3="00000000" w:csb0="00000193"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6958" w14:textId="77777777" w:rsidR="00F008C7" w:rsidRDefault="00F008C7" w:rsidP="00161ACA">
      <w:pPr>
        <w:spacing w:line="240" w:lineRule="auto"/>
      </w:pPr>
      <w:r>
        <w:separator/>
      </w:r>
    </w:p>
  </w:footnote>
  <w:footnote w:type="continuationSeparator" w:id="0">
    <w:p w14:paraId="268AFA99" w14:textId="77777777" w:rsidR="00F008C7" w:rsidRDefault="00F008C7" w:rsidP="00161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5"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6"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7" w15:restartNumberingAfterBreak="0">
    <w:nsid w:val="11D0018D"/>
    <w:multiLevelType w:val="multilevel"/>
    <w:tmpl w:val="249AB59C"/>
    <w:numStyleLink w:val="MainNumbering"/>
  </w:abstractNum>
  <w:abstractNum w:abstractNumId="8" w15:restartNumberingAfterBreak="0">
    <w:nsid w:val="18D25C27"/>
    <w:multiLevelType w:val="multilevel"/>
    <w:tmpl w:val="59627C7E"/>
    <w:numStyleLink w:val="PartiesNumbering"/>
  </w:abstractNum>
  <w:abstractNum w:abstractNumId="9"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27E3737B"/>
    <w:multiLevelType w:val="multilevel"/>
    <w:tmpl w:val="4E3E1B1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F2236"/>
    <w:multiLevelType w:val="multilevel"/>
    <w:tmpl w:val="1AF0C954"/>
    <w:lvl w:ilvl="0">
      <w:numFmt w:val="bullet"/>
      <w:lvlText w:val="-"/>
      <w:lvlJc w:val="left"/>
      <w:pPr>
        <w:tabs>
          <w:tab w:val="num" w:pos="720"/>
        </w:tabs>
        <w:ind w:left="720" w:hanging="360"/>
      </w:pPr>
      <w:rPr>
        <w:rFonts w:ascii="TheMix Trial SemiLight" w:eastAsiaTheme="minorHAnsi" w:hAnsi="TheMix Trial Semi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A1144"/>
    <w:multiLevelType w:val="multilevel"/>
    <w:tmpl w:val="C1CC2486"/>
    <w:numStyleLink w:val="Bullets"/>
  </w:abstractNum>
  <w:abstractNum w:abstractNumId="15" w15:restartNumberingAfterBreak="0">
    <w:nsid w:val="383F1058"/>
    <w:multiLevelType w:val="multilevel"/>
    <w:tmpl w:val="59627C7E"/>
    <w:numStyleLink w:val="PartiesNumbering"/>
  </w:abstractNum>
  <w:abstractNum w:abstractNumId="16"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17" w15:restartNumberingAfterBreak="0">
    <w:nsid w:val="3B5576B9"/>
    <w:multiLevelType w:val="multilevel"/>
    <w:tmpl w:val="66402324"/>
    <w:numStyleLink w:val="Definitions"/>
  </w:abstractNum>
  <w:abstractNum w:abstractNumId="18" w15:restartNumberingAfterBreak="0">
    <w:nsid w:val="47460526"/>
    <w:multiLevelType w:val="multilevel"/>
    <w:tmpl w:val="950C5054"/>
    <w:numStyleLink w:val="ScheduleNumbering"/>
  </w:abstractNum>
  <w:abstractNum w:abstractNumId="19" w15:restartNumberingAfterBreak="0">
    <w:nsid w:val="4CA9239F"/>
    <w:multiLevelType w:val="multilevel"/>
    <w:tmpl w:val="FB4C5774"/>
    <w:numStyleLink w:val="Parties"/>
  </w:abstractNum>
  <w:abstractNum w:abstractNumId="20"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21" w15:restartNumberingAfterBreak="0">
    <w:nsid w:val="59DC177A"/>
    <w:multiLevelType w:val="multilevel"/>
    <w:tmpl w:val="950C5054"/>
    <w:numStyleLink w:val="ScheduleNumbering"/>
  </w:abstractNum>
  <w:abstractNum w:abstractNumId="22" w15:restartNumberingAfterBreak="0">
    <w:nsid w:val="5B047275"/>
    <w:multiLevelType w:val="multilevel"/>
    <w:tmpl w:val="413AC656"/>
    <w:lvl w:ilvl="0">
      <w:numFmt w:val="bullet"/>
      <w:lvlText w:val="-"/>
      <w:lvlJc w:val="left"/>
      <w:pPr>
        <w:tabs>
          <w:tab w:val="num" w:pos="720"/>
        </w:tabs>
        <w:ind w:left="720" w:hanging="360"/>
      </w:pPr>
      <w:rPr>
        <w:rFonts w:ascii="TheMix Trial SemiLight" w:eastAsiaTheme="minorHAnsi" w:hAnsi="TheMix Trial SemiLight" w:cstheme="minorBidi"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F43FA"/>
    <w:multiLevelType w:val="multilevel"/>
    <w:tmpl w:val="950C5054"/>
    <w:numStyleLink w:val="ScheduleNumbering"/>
  </w:abstractNum>
  <w:abstractNum w:abstractNumId="24" w15:restartNumberingAfterBreak="0">
    <w:nsid w:val="5DA24D5E"/>
    <w:multiLevelType w:val="multilevel"/>
    <w:tmpl w:val="249AB59C"/>
    <w:numStyleLink w:val="MainNumbering"/>
  </w:abstractNum>
  <w:abstractNum w:abstractNumId="25"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27" w15:restartNumberingAfterBreak="0">
    <w:nsid w:val="64F54A2D"/>
    <w:multiLevelType w:val="multilevel"/>
    <w:tmpl w:val="C6D2E7EC"/>
    <w:lvl w:ilvl="0">
      <w:numFmt w:val="bullet"/>
      <w:lvlText w:val="-"/>
      <w:lvlJc w:val="left"/>
      <w:pPr>
        <w:tabs>
          <w:tab w:val="num" w:pos="720"/>
        </w:tabs>
        <w:ind w:left="720" w:hanging="360"/>
      </w:pPr>
      <w:rPr>
        <w:rFonts w:ascii="TheMix Trial SemiLight" w:eastAsiaTheme="minorHAnsi" w:hAnsi="TheMix Trial SemiLight" w:cstheme="minorBidi"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6492E"/>
    <w:multiLevelType w:val="multilevel"/>
    <w:tmpl w:val="249AB59C"/>
    <w:numStyleLink w:val="MainNumbering"/>
  </w:abstractNum>
  <w:abstractNum w:abstractNumId="29" w15:restartNumberingAfterBreak="0">
    <w:nsid w:val="6CA9556F"/>
    <w:multiLevelType w:val="multilevel"/>
    <w:tmpl w:val="249AB59C"/>
    <w:numStyleLink w:val="MainNumbering"/>
  </w:abstractNum>
  <w:num w:numId="1" w16cid:durableId="2023972023">
    <w:abstractNumId w:val="6"/>
  </w:num>
  <w:num w:numId="2" w16cid:durableId="1694764745">
    <w:abstractNumId w:val="11"/>
  </w:num>
  <w:num w:numId="3" w16cid:durableId="1380277443">
    <w:abstractNumId w:val="25"/>
  </w:num>
  <w:num w:numId="4" w16cid:durableId="545724425">
    <w:abstractNumId w:val="2"/>
  </w:num>
  <w:num w:numId="5" w16cid:durableId="573441662">
    <w:abstractNumId w:val="10"/>
  </w:num>
  <w:num w:numId="6" w16cid:durableId="1612469480">
    <w:abstractNumId w:val="8"/>
  </w:num>
  <w:num w:numId="7" w16cid:durableId="690837921">
    <w:abstractNumId w:val="19"/>
  </w:num>
  <w:num w:numId="8" w16cid:durableId="1225143240">
    <w:abstractNumId w:val="14"/>
  </w:num>
  <w:num w:numId="9" w16cid:durableId="1056200680">
    <w:abstractNumId w:val="17"/>
  </w:num>
  <w:num w:numId="10" w16cid:durableId="845092835">
    <w:abstractNumId w:val="5"/>
  </w:num>
  <w:num w:numId="11" w16cid:durableId="1353727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4876286">
    <w:abstractNumId w:val="7"/>
  </w:num>
  <w:num w:numId="13" w16cid:durableId="357200167">
    <w:abstractNumId w:val="16"/>
  </w:num>
  <w:num w:numId="14" w16cid:durableId="1112632039">
    <w:abstractNumId w:val="20"/>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16cid:durableId="286930033">
    <w:abstractNumId w:val="24"/>
  </w:num>
  <w:num w:numId="16" w16cid:durableId="1673488796">
    <w:abstractNumId w:val="28"/>
  </w:num>
  <w:num w:numId="17" w16cid:durableId="1530677233">
    <w:abstractNumId w:val="1"/>
  </w:num>
  <w:num w:numId="18" w16cid:durableId="1738749916">
    <w:abstractNumId w:val="20"/>
  </w:num>
  <w:num w:numId="19" w16cid:durableId="37317991">
    <w:abstractNumId w:val="29"/>
  </w:num>
  <w:num w:numId="20" w16cid:durableId="1908033222">
    <w:abstractNumId w:val="18"/>
  </w:num>
  <w:num w:numId="21" w16cid:durableId="739519937">
    <w:abstractNumId w:val="21"/>
  </w:num>
  <w:num w:numId="22" w16cid:durableId="75055689">
    <w:abstractNumId w:val="3"/>
  </w:num>
  <w:num w:numId="23" w16cid:durableId="216669559">
    <w:abstractNumId w:val="23"/>
  </w:num>
  <w:num w:numId="24" w16cid:durableId="1363433141">
    <w:abstractNumId w:val="15"/>
  </w:num>
  <w:num w:numId="25" w16cid:durableId="256985454">
    <w:abstractNumId w:val="9"/>
  </w:num>
  <w:num w:numId="26" w16cid:durableId="1659310524">
    <w:abstractNumId w:val="0"/>
  </w:num>
  <w:num w:numId="27" w16cid:durableId="2073888579">
    <w:abstractNumId w:val="4"/>
  </w:num>
  <w:num w:numId="28" w16cid:durableId="146363648">
    <w:abstractNumId w:val="4"/>
  </w:num>
  <w:num w:numId="29" w16cid:durableId="276059682">
    <w:abstractNumId w:val="12"/>
  </w:num>
  <w:num w:numId="30" w16cid:durableId="546338427">
    <w:abstractNumId w:val="13"/>
  </w:num>
  <w:num w:numId="31" w16cid:durableId="840050630">
    <w:abstractNumId w:val="22"/>
  </w:num>
  <w:num w:numId="32" w16cid:durableId="1727608777">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F008C7"/>
    <w:rsid w:val="000630F4"/>
    <w:rsid w:val="00064EEE"/>
    <w:rsid w:val="00087D4D"/>
    <w:rsid w:val="000A5DFA"/>
    <w:rsid w:val="000F76F2"/>
    <w:rsid w:val="00150D47"/>
    <w:rsid w:val="00161ACA"/>
    <w:rsid w:val="001A5D82"/>
    <w:rsid w:val="001B2546"/>
    <w:rsid w:val="001B3067"/>
    <w:rsid w:val="001E68D7"/>
    <w:rsid w:val="002242D6"/>
    <w:rsid w:val="00271A2D"/>
    <w:rsid w:val="00291AD7"/>
    <w:rsid w:val="002B4437"/>
    <w:rsid w:val="002B4E9A"/>
    <w:rsid w:val="002C6771"/>
    <w:rsid w:val="002E4FEE"/>
    <w:rsid w:val="0032396B"/>
    <w:rsid w:val="00374FFD"/>
    <w:rsid w:val="00391EA2"/>
    <w:rsid w:val="003E1477"/>
    <w:rsid w:val="0040201C"/>
    <w:rsid w:val="00402334"/>
    <w:rsid w:val="00435487"/>
    <w:rsid w:val="004408FE"/>
    <w:rsid w:val="004419EA"/>
    <w:rsid w:val="004472CF"/>
    <w:rsid w:val="00454EAD"/>
    <w:rsid w:val="00461E98"/>
    <w:rsid w:val="0049208E"/>
    <w:rsid w:val="00497FE2"/>
    <w:rsid w:val="004A5120"/>
    <w:rsid w:val="004F6832"/>
    <w:rsid w:val="0056181F"/>
    <w:rsid w:val="00563FAF"/>
    <w:rsid w:val="00584CED"/>
    <w:rsid w:val="0059703D"/>
    <w:rsid w:val="005F6A91"/>
    <w:rsid w:val="006A553F"/>
    <w:rsid w:val="006C6AA5"/>
    <w:rsid w:val="007B41A3"/>
    <w:rsid w:val="007B6205"/>
    <w:rsid w:val="007D07A0"/>
    <w:rsid w:val="008176ED"/>
    <w:rsid w:val="00823BA9"/>
    <w:rsid w:val="00853DED"/>
    <w:rsid w:val="00862B14"/>
    <w:rsid w:val="00866068"/>
    <w:rsid w:val="00877103"/>
    <w:rsid w:val="00881648"/>
    <w:rsid w:val="008A4F89"/>
    <w:rsid w:val="008E2B84"/>
    <w:rsid w:val="00907CE3"/>
    <w:rsid w:val="00912C05"/>
    <w:rsid w:val="00926AF4"/>
    <w:rsid w:val="00950BA5"/>
    <w:rsid w:val="009525DF"/>
    <w:rsid w:val="00973952"/>
    <w:rsid w:val="00984E67"/>
    <w:rsid w:val="009905F2"/>
    <w:rsid w:val="009976E2"/>
    <w:rsid w:val="009C43ED"/>
    <w:rsid w:val="009C4B50"/>
    <w:rsid w:val="009F423A"/>
    <w:rsid w:val="00A309A9"/>
    <w:rsid w:val="00A46A67"/>
    <w:rsid w:val="00A759C1"/>
    <w:rsid w:val="00A818AA"/>
    <w:rsid w:val="00A84728"/>
    <w:rsid w:val="00A91669"/>
    <w:rsid w:val="00AB19AD"/>
    <w:rsid w:val="00AF2491"/>
    <w:rsid w:val="00AF783C"/>
    <w:rsid w:val="00B243C7"/>
    <w:rsid w:val="00B345DB"/>
    <w:rsid w:val="00B34FBB"/>
    <w:rsid w:val="00B371A0"/>
    <w:rsid w:val="00B47F1B"/>
    <w:rsid w:val="00B76E11"/>
    <w:rsid w:val="00B91143"/>
    <w:rsid w:val="00BB1B05"/>
    <w:rsid w:val="00C01DD6"/>
    <w:rsid w:val="00C233FB"/>
    <w:rsid w:val="00C36D4E"/>
    <w:rsid w:val="00C40E01"/>
    <w:rsid w:val="00C436D6"/>
    <w:rsid w:val="00CE2C92"/>
    <w:rsid w:val="00D01032"/>
    <w:rsid w:val="00D04C3A"/>
    <w:rsid w:val="00D13433"/>
    <w:rsid w:val="00D6491F"/>
    <w:rsid w:val="00D704EC"/>
    <w:rsid w:val="00D96250"/>
    <w:rsid w:val="00E342BF"/>
    <w:rsid w:val="00E80FDF"/>
    <w:rsid w:val="00E843BA"/>
    <w:rsid w:val="00E94C8A"/>
    <w:rsid w:val="00EC0967"/>
    <w:rsid w:val="00EC5C8B"/>
    <w:rsid w:val="00ED31EE"/>
    <w:rsid w:val="00F008C7"/>
    <w:rsid w:val="00F23024"/>
    <w:rsid w:val="00F230CF"/>
    <w:rsid w:val="00F84442"/>
    <w:rsid w:val="00F90EF4"/>
    <w:rsid w:val="00FA11AC"/>
    <w:rsid w:val="00FC1BEC"/>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C0E2D"/>
  <w15:chartTrackingRefBased/>
  <w15:docId w15:val="{0B6D4EE6-D38F-4696-AA75-427E4788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uiPriority="59" w:qFormat="1"/>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semiHidden/>
    <w:rsid w:val="00F008C7"/>
    <w:pPr>
      <w:spacing w:after="0"/>
    </w:pPr>
    <w:rPr>
      <w:sz w:val="18"/>
    </w:rPr>
  </w:style>
  <w:style w:type="paragraph" w:styleId="Heading1">
    <w:name w:val="heading 1"/>
    <w:basedOn w:val="Normal"/>
    <w:next w:val="Normal"/>
    <w:link w:val="Heading1Char"/>
    <w:uiPriority w:val="59"/>
    <w:semiHidden/>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59"/>
    <w:semiHidden/>
    <w:qFormat/>
    <w:rsid w:val="00F008C7"/>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59"/>
    <w:semiHidden/>
    <w:qFormat/>
    <w:rsid w:val="00F008C7"/>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F008C7"/>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F008C7"/>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F008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F008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F008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F008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 w:val="22"/>
      <w:szCs w:val="36"/>
    </w:rPr>
  </w:style>
  <w:style w:type="paragraph" w:customStyle="1" w:styleId="CoverDate">
    <w:name w:val="Cover Date"/>
    <w:basedOn w:val="BodyText"/>
    <w:uiPriority w:val="5"/>
    <w:semiHidden/>
    <w:rsid w:val="009C43ED"/>
    <w:pPr>
      <w:jc w:val="center"/>
    </w:pPr>
    <w:rPr>
      <w:b/>
      <w:bCs/>
      <w:sz w:val="22"/>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59"/>
    <w:semiHidden/>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 w:val="22"/>
      <w:szCs w:val="24"/>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 w:val="22"/>
      <w:szCs w:val="24"/>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character" w:customStyle="1" w:styleId="Heading2Char">
    <w:name w:val="Heading 2 Char"/>
    <w:basedOn w:val="DefaultParagraphFont"/>
    <w:link w:val="Heading2"/>
    <w:uiPriority w:val="59"/>
    <w:semiHidden/>
    <w:rsid w:val="00F008C7"/>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59"/>
    <w:semiHidden/>
    <w:rsid w:val="00F008C7"/>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F008C7"/>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F008C7"/>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F008C7"/>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F008C7"/>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F008C7"/>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F008C7"/>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F00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F00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F008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F00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F008C7"/>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F008C7"/>
    <w:rPr>
      <w:i/>
      <w:iCs/>
      <w:color w:val="404040" w:themeColor="text1" w:themeTint="BF"/>
      <w:sz w:val="18"/>
    </w:rPr>
  </w:style>
  <w:style w:type="paragraph" w:styleId="ListParagraph">
    <w:name w:val="List Paragraph"/>
    <w:basedOn w:val="Normal"/>
    <w:uiPriority w:val="59"/>
    <w:rsid w:val="00F008C7"/>
    <w:pPr>
      <w:ind w:left="720"/>
      <w:contextualSpacing/>
    </w:pPr>
  </w:style>
  <w:style w:type="character" w:styleId="IntenseEmphasis">
    <w:name w:val="Intense Emphasis"/>
    <w:basedOn w:val="DefaultParagraphFont"/>
    <w:uiPriority w:val="59"/>
    <w:semiHidden/>
    <w:qFormat/>
    <w:rsid w:val="00F008C7"/>
    <w:rPr>
      <w:i/>
      <w:iCs/>
      <w:color w:val="000000" w:themeColor="accent1" w:themeShade="BF"/>
    </w:rPr>
  </w:style>
  <w:style w:type="paragraph" w:styleId="IntenseQuote">
    <w:name w:val="Intense Quote"/>
    <w:basedOn w:val="Normal"/>
    <w:next w:val="Normal"/>
    <w:link w:val="IntenseQuoteChar"/>
    <w:uiPriority w:val="59"/>
    <w:semiHidden/>
    <w:qFormat/>
    <w:rsid w:val="00F008C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F008C7"/>
    <w:rPr>
      <w:i/>
      <w:iCs/>
      <w:color w:val="000000" w:themeColor="accent1" w:themeShade="BF"/>
      <w:sz w:val="18"/>
    </w:rPr>
  </w:style>
  <w:style w:type="character" w:styleId="IntenseReference">
    <w:name w:val="Intense Reference"/>
    <w:basedOn w:val="DefaultParagraphFont"/>
    <w:uiPriority w:val="59"/>
    <w:semiHidden/>
    <w:qFormat/>
    <w:rsid w:val="00F008C7"/>
    <w:rPr>
      <w:b/>
      <w:bCs/>
      <w:smallCaps/>
      <w:color w:val="0000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ghtmans.com/services/employment-pensions-and-immigration/settlement-agreements/" TargetMode="External"/><Relationship Id="rId13" Type="http://schemas.openxmlformats.org/officeDocument/2006/relationships/hyperlink" Target="https://hrrely.weightmans.com/members-library/managing-data-and-communications/guide-to-the-general-data-protection-regulations-gd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rely.weightmans.com/members-library/handling-discipline/guide-to-disciplinary-proceedin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rely.weightmans.com/members-library/managing-contracts/guide-to-employment-contrac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eightmans.com/insights/a-guide-to-defamation/" TargetMode="External"/><Relationship Id="rId4" Type="http://schemas.openxmlformats.org/officeDocument/2006/relationships/settings" Target="settings.xml"/><Relationship Id="rId9" Type="http://schemas.openxmlformats.org/officeDocument/2006/relationships/hyperlink" Target="https://hrrely.weightmans.com/hr-glossary/constructive-dismissal/" TargetMode="External"/><Relationship Id="rId14" Type="http://schemas.openxmlformats.org/officeDocument/2006/relationships/fontTable" Target="fontTable.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2197</Words>
  <Characters>11559</Characters>
  <Application>Microsoft Office Word</Application>
  <DocSecurity>0</DocSecurity>
  <Lines>284</Lines>
  <Paragraphs>112</Paragraphs>
  <ScaleCrop>false</ScaleCrop>
  <Company>Weightmans LLP</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Ruby Mander</cp:lastModifiedBy>
  <cp:revision>1</cp:revision>
  <cp:lastPrinted>2013-07-08T10:59:00Z</cp:lastPrinted>
  <dcterms:created xsi:type="dcterms:W3CDTF">2025-11-26T12:04:00Z</dcterms:created>
  <dcterms:modified xsi:type="dcterms:W3CDTF">2025-11-26T12:04:00Z</dcterms:modified>
</cp:coreProperties>
</file>