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8A50" w14:textId="615E2C02" w:rsidR="00093308" w:rsidRDefault="00093308" w:rsidP="00093308">
      <w:pPr>
        <w:rPr>
          <w:rFonts w:ascii="TheMix Trial SemiLight" w:hAnsi="TheMix Trial SemiLight"/>
          <w:b/>
          <w:bCs/>
          <w:color w:val="004852"/>
          <w:sz w:val="22"/>
          <w:szCs w:val="22"/>
          <w:u w:val="single"/>
        </w:rPr>
      </w:pPr>
      <w:bookmarkStart w:id="0" w:name="HealthChecks"/>
      <w:r>
        <w:rPr>
          <w:rFonts w:ascii="TheMix Trial SemiLight" w:hAnsi="TheMix Trial SemiLight"/>
          <w:b/>
          <w:bCs/>
          <w:color w:val="004852"/>
          <w:sz w:val="22"/>
          <w:szCs w:val="22"/>
          <w:u w:val="single"/>
        </w:rPr>
        <w:t xml:space="preserve">Background Checks: Health Checks </w:t>
      </w:r>
    </w:p>
    <w:p w14:paraId="1BB74852" w14:textId="77777777" w:rsidR="00093308" w:rsidRDefault="00093308" w:rsidP="00093308">
      <w:pPr>
        <w:rPr>
          <w:rFonts w:ascii="TheMix Trial SemiLight" w:hAnsi="TheMix Trial SemiLight"/>
          <w:b/>
          <w:bCs/>
          <w:color w:val="004852"/>
          <w:sz w:val="22"/>
          <w:szCs w:val="22"/>
          <w:u w:val="single"/>
        </w:rPr>
      </w:pPr>
    </w:p>
    <w:p w14:paraId="6BB3D3CB" w14:textId="68A6859B" w:rsidR="00093308" w:rsidRPr="00093308" w:rsidRDefault="00093308" w:rsidP="00093308">
      <w:pPr>
        <w:rPr>
          <w:rFonts w:ascii="TheMix Trial SemiLight" w:hAnsi="TheMix Trial SemiLight"/>
          <w:b/>
          <w:bCs/>
          <w:color w:val="004852"/>
          <w:sz w:val="22"/>
          <w:szCs w:val="22"/>
          <w:u w:val="single"/>
        </w:rPr>
      </w:pPr>
      <w:r w:rsidRPr="00093308">
        <w:rPr>
          <w:rFonts w:ascii="TheMix Trial SemiLight" w:hAnsi="TheMix Trial SemiLight"/>
          <w:b/>
          <w:bCs/>
          <w:color w:val="004852"/>
          <w:sz w:val="22"/>
          <w:szCs w:val="22"/>
          <w:u w:val="single"/>
        </w:rPr>
        <w:t>Health Checks</w:t>
      </w:r>
    </w:p>
    <w:p w14:paraId="6CD0F2A7" w14:textId="77777777" w:rsidR="00093308" w:rsidRPr="001B3690" w:rsidRDefault="00093308" w:rsidP="00093308">
      <w:pPr>
        <w:pStyle w:val="ListParagraph"/>
        <w:rPr>
          <w:rFonts w:ascii="TheMix Trial SemiLight" w:hAnsi="TheMix Trial SemiLight"/>
          <w:color w:val="004852"/>
          <w:sz w:val="20"/>
        </w:rPr>
      </w:pPr>
    </w:p>
    <w:bookmarkEnd w:id="0"/>
    <w:p w14:paraId="26F9DDB1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  <w:u w:val="single"/>
        </w:rPr>
      </w:pPr>
      <w:r w:rsidRPr="001B3690">
        <w:rPr>
          <w:rFonts w:ascii="TheMix Trial SemiLight" w:hAnsi="TheMix Trial SemiLight"/>
          <w:color w:val="004852"/>
          <w:sz w:val="20"/>
          <w:u w:val="single"/>
        </w:rPr>
        <w:t>Pre-employment Medical Checks</w:t>
      </w:r>
    </w:p>
    <w:p w14:paraId="5ABA8DDD" w14:textId="77777777" w:rsidR="00093308" w:rsidRPr="001B3690" w:rsidRDefault="00093308" w:rsidP="00093308">
      <w:pPr>
        <w:rPr>
          <w:rFonts w:ascii="TheMix Trial SemiLight" w:hAnsi="TheMix Trial SemiLight"/>
          <w:b/>
          <w:bCs/>
          <w:color w:val="004852"/>
          <w:sz w:val="20"/>
        </w:rPr>
      </w:pPr>
    </w:p>
    <w:p w14:paraId="41E14AD3" w14:textId="77777777" w:rsidR="00093308" w:rsidRPr="001B3690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There is no legal obligation for employers to require prospective employees to undergo medical examinations.</w:t>
      </w:r>
    </w:p>
    <w:p w14:paraId="7B005DEF" w14:textId="77777777" w:rsidR="00093308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Under the Equality Act 2010, employers must not ask job applicants to complete a </w:t>
      </w:r>
      <w:r w:rsidRPr="00D40D10">
        <w:rPr>
          <w:rFonts w:ascii="TheMix Trial SemiLight" w:hAnsi="TheMix Trial SemiLight"/>
          <w:color w:val="004852"/>
          <w:sz w:val="20"/>
          <w:highlight w:val="yellow"/>
        </w:rPr>
        <w:t>health questionnaire</w:t>
      </w:r>
      <w:r w:rsidRPr="001B3690">
        <w:rPr>
          <w:rFonts w:ascii="TheMix Trial SemiLight" w:hAnsi="TheMix Trial SemiLight"/>
          <w:color w:val="004852"/>
          <w:sz w:val="20"/>
        </w:rPr>
        <w:t xml:space="preserve"> or undergo a medical examination prior to making job offers to them (whether conditional or unconditional). </w:t>
      </w:r>
    </w:p>
    <w:p w14:paraId="58209F7F" w14:textId="77777777" w:rsidR="00093308" w:rsidRPr="001B3690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The same principle applies to questions about disability or health asked at a job interview.</w:t>
      </w:r>
    </w:p>
    <w:p w14:paraId="7693A6C5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Nevertheless, many employers require pre-employment medical checks to confirm job fitness and detect pre-existing conditions. </w:t>
      </w:r>
    </w:p>
    <w:p w14:paraId="1971D964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3FAD94B0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These checks should be relevant and not excessive for the position. </w:t>
      </w:r>
    </w:p>
    <w:p w14:paraId="012E0918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5E1F996F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Employers must clearly define their objectives and only conduct consistent health checks.</w:t>
      </w:r>
    </w:p>
    <w:p w14:paraId="7D4E2E9C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3B5F0292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  <w:u w:val="single"/>
        </w:rPr>
      </w:pPr>
      <w:r w:rsidRPr="001B3690">
        <w:rPr>
          <w:rFonts w:ascii="TheMix Trial SemiLight" w:hAnsi="TheMix Trial SemiLight"/>
          <w:color w:val="004852"/>
          <w:sz w:val="20"/>
          <w:u w:val="single"/>
        </w:rPr>
        <w:t xml:space="preserve">Data Protection </w:t>
      </w:r>
    </w:p>
    <w:p w14:paraId="46F26418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  <w:u w:val="single"/>
        </w:rPr>
      </w:pPr>
    </w:p>
    <w:p w14:paraId="5BF6CA61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Health information obtained from prospective employees, whether through medical questionnaires or health assessments, must remain confidential and be managed in compliance with UK GDPR regulations, as it is classified as a special category of personal data subject to enhanced protections. </w:t>
      </w:r>
    </w:p>
    <w:p w14:paraId="25BEC707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22E61E94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The processing of such data typically requires explicit consent or may be </w:t>
      </w:r>
      <w:proofErr w:type="gramStart"/>
      <w:r w:rsidRPr="001B3690">
        <w:rPr>
          <w:rFonts w:ascii="TheMix Trial SemiLight" w:hAnsi="TheMix Trial SemiLight"/>
          <w:color w:val="004852"/>
          <w:sz w:val="20"/>
        </w:rPr>
        <w:t>permitted</w:t>
      </w:r>
      <w:proofErr w:type="gramEnd"/>
      <w:r w:rsidRPr="001B3690">
        <w:rPr>
          <w:rFonts w:ascii="TheMix Trial SemiLight" w:hAnsi="TheMix Trial SemiLight"/>
          <w:color w:val="004852"/>
          <w:sz w:val="20"/>
        </w:rPr>
        <w:t xml:space="preserve"> when necessary, under employment law; however, obtaining valid consent in the workplace is uncommon due to inherent power imbalances. </w:t>
      </w:r>
    </w:p>
    <w:p w14:paraId="712FCEBB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521ADA43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Employers may process health data for legal compliance, provided actions are proportionate and follow </w:t>
      </w:r>
      <w:r w:rsidRPr="00D40D10">
        <w:rPr>
          <w:rFonts w:ascii="TheMix Trial SemiLight" w:hAnsi="TheMix Trial SemiLight"/>
          <w:color w:val="004852"/>
          <w:sz w:val="20"/>
          <w:highlight w:val="yellow"/>
        </w:rPr>
        <w:t>ICO guidance</w:t>
      </w:r>
      <w:r w:rsidRPr="001B3690">
        <w:rPr>
          <w:rFonts w:ascii="TheMix Trial SemiLight" w:hAnsi="TheMix Trial SemiLight"/>
          <w:color w:val="004852"/>
          <w:sz w:val="20"/>
        </w:rPr>
        <w:t>.</w:t>
      </w:r>
    </w:p>
    <w:p w14:paraId="6B341FC4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49B3A3D4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The ICO advises employers to:</w:t>
      </w:r>
    </w:p>
    <w:p w14:paraId="0BA0DF26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Only collect essential health information</w:t>
      </w:r>
    </w:p>
    <w:p w14:paraId="359D7432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Clarify why medical exams are needed</w:t>
      </w:r>
    </w:p>
    <w:p w14:paraId="747F6F43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Be transparent about data use</w:t>
      </w:r>
    </w:p>
    <w:p w14:paraId="57DC5A05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Consider alternatives like health questionnaires</w:t>
      </w:r>
    </w:p>
    <w:p w14:paraId="3B76553F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Inform applicants early if medical exams are required</w:t>
      </w:r>
    </w:p>
    <w:p w14:paraId="45B12D26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Ensure assessments are relevant to the role or preventing discrimination</w:t>
      </w:r>
    </w:p>
    <w:p w14:paraId="391DEDC9" w14:textId="77777777" w:rsidR="00093308" w:rsidRPr="001B3690" w:rsidRDefault="00093308" w:rsidP="00093308">
      <w:pPr>
        <w:pStyle w:val="ListParagraph"/>
        <w:numPr>
          <w:ilvl w:val="0"/>
          <w:numId w:val="30"/>
        </w:num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Have qualified professionals interpret medical data</w:t>
      </w:r>
    </w:p>
    <w:p w14:paraId="4C380FD6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1DC45A17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Managers should access health information about job applicants only when it is necessary for fulfilling management responsibilities or evaluating fitness to work.</w:t>
      </w:r>
    </w:p>
    <w:p w14:paraId="10C0D390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5080FF6C" w14:textId="77777777" w:rsidR="00093308" w:rsidRDefault="00093308" w:rsidP="00093308">
      <w:pPr>
        <w:rPr>
          <w:rFonts w:ascii="TheMix Trial SemiLight" w:hAnsi="TheMix Trial SemiLight" w:cs="Lucida Sans Unicode"/>
          <w:color w:val="004852"/>
          <w:sz w:val="20"/>
        </w:rPr>
      </w:pPr>
      <w:r w:rsidRPr="001B3690">
        <w:rPr>
          <w:rFonts w:ascii="TheMix Trial SemiLight" w:hAnsi="TheMix Trial SemiLight" w:cs="Lucida Sans Unicode"/>
          <w:color w:val="004852"/>
          <w:sz w:val="20"/>
        </w:rPr>
        <w:lastRenderedPageBreak/>
        <w:t xml:space="preserve">Pursuant to the Data Protection Act 2018, organisations that process special categories of personal data are required to maintain an up-to-date policy detailing its use, retention, and erasure. </w:t>
      </w:r>
    </w:p>
    <w:p w14:paraId="7FD3B057" w14:textId="77777777" w:rsidR="00093308" w:rsidRDefault="00093308" w:rsidP="00093308">
      <w:pPr>
        <w:rPr>
          <w:rFonts w:ascii="TheMix Trial SemiLight" w:hAnsi="TheMix Trial SemiLight" w:cs="Lucida Sans Unicode"/>
          <w:color w:val="004852"/>
          <w:sz w:val="20"/>
        </w:rPr>
      </w:pPr>
    </w:p>
    <w:p w14:paraId="7720FF33" w14:textId="77777777" w:rsidR="00093308" w:rsidRDefault="00093308" w:rsidP="00093308">
      <w:pPr>
        <w:rPr>
          <w:rFonts w:ascii="TheMix Trial SemiLight" w:hAnsi="TheMix Trial SemiLight" w:cs="Lucida Sans Unicode"/>
          <w:color w:val="004852"/>
          <w:sz w:val="20"/>
        </w:rPr>
      </w:pPr>
      <w:r w:rsidRPr="001B3690">
        <w:rPr>
          <w:rFonts w:ascii="TheMix Trial SemiLight" w:hAnsi="TheMix Trial SemiLight" w:cs="Lucida Sans Unicode"/>
          <w:color w:val="004852"/>
          <w:sz w:val="20"/>
        </w:rPr>
        <w:t xml:space="preserve">This policy must be accessible for review by the Information Commissioner. </w:t>
      </w:r>
    </w:p>
    <w:p w14:paraId="47EB42A2" w14:textId="77777777" w:rsidR="00093308" w:rsidRDefault="00093308" w:rsidP="00093308">
      <w:pPr>
        <w:rPr>
          <w:rFonts w:ascii="TheMix Trial SemiLight" w:hAnsi="TheMix Trial SemiLight" w:cs="Lucida Sans Unicode"/>
          <w:color w:val="004852"/>
          <w:sz w:val="20"/>
        </w:rPr>
      </w:pPr>
    </w:p>
    <w:p w14:paraId="27682B7A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 w:cs="Lucida Sans Unicode"/>
          <w:color w:val="004852"/>
          <w:sz w:val="20"/>
        </w:rPr>
        <w:t>Additionally, employers who collect health data from applicants during the recruitment process must disclose this practice within their privacy notice.</w:t>
      </w:r>
    </w:p>
    <w:p w14:paraId="6258AD00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  <w:u w:val="single"/>
        </w:rPr>
      </w:pPr>
    </w:p>
    <w:p w14:paraId="7EF1D65A" w14:textId="77777777" w:rsidR="00093308" w:rsidRPr="001B3690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  <w:u w:val="single"/>
        </w:rPr>
      </w:pPr>
      <w:r w:rsidRPr="001B3690">
        <w:rPr>
          <w:rFonts w:ascii="TheMix Trial SemiLight" w:hAnsi="TheMix Trial SemiLight"/>
          <w:color w:val="004852"/>
          <w:sz w:val="20"/>
          <w:u w:val="single"/>
        </w:rPr>
        <w:t>Access to Medical Reports</w:t>
      </w:r>
    </w:p>
    <w:p w14:paraId="1EB9367B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An employer cannot contact a job applicant's GP or consultant for health information without first giving the applicant a written statement of their rights under the </w:t>
      </w:r>
      <w:r w:rsidRPr="00D40D10">
        <w:rPr>
          <w:rFonts w:ascii="TheMix Trial SemiLight" w:hAnsi="TheMix Trial SemiLight"/>
          <w:color w:val="004852"/>
          <w:sz w:val="20"/>
          <w:highlight w:val="yellow"/>
        </w:rPr>
        <w:t>Access to Medical Reports Act 1988</w:t>
      </w:r>
      <w:r w:rsidRPr="001B3690">
        <w:rPr>
          <w:rFonts w:ascii="TheMix Trial SemiLight" w:hAnsi="TheMix Trial SemiLight"/>
          <w:color w:val="004852"/>
          <w:sz w:val="20"/>
        </w:rPr>
        <w:t xml:space="preserve"> and getting their written consent. </w:t>
      </w:r>
    </w:p>
    <w:p w14:paraId="426BC2DB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3B1F31E9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A job applicant is entitled to review a copy of the report before it is provided to the employer and may request the doctor to remove any information, they consider damaging or irrelevant. </w:t>
      </w:r>
    </w:p>
    <w:p w14:paraId="36CA9621" w14:textId="77777777" w:rsidR="00093308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14EE4BB4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This right does not apply to reports prepared by a company doctor or by a doctor selected and compensated by the employer</w:t>
      </w:r>
      <w:r>
        <w:rPr>
          <w:rFonts w:ascii="TheMix Trial SemiLight" w:hAnsi="TheMix Trial SemiLight"/>
          <w:color w:val="004852"/>
          <w:sz w:val="20"/>
        </w:rPr>
        <w:t xml:space="preserve"> p</w:t>
      </w:r>
      <w:r w:rsidRPr="001B3690">
        <w:rPr>
          <w:rFonts w:ascii="TheMix Trial SemiLight" w:hAnsi="TheMix Trial SemiLight"/>
          <w:color w:val="004852"/>
          <w:sz w:val="20"/>
        </w:rPr>
        <w:t>rocessing health data under UK GDPR, it remains a legal requirement under the Act.</w:t>
      </w:r>
    </w:p>
    <w:p w14:paraId="14DAF875" w14:textId="77777777" w:rsidR="00093308" w:rsidRPr="001B3690" w:rsidRDefault="00093308" w:rsidP="00093308">
      <w:pPr>
        <w:rPr>
          <w:rFonts w:ascii="TheMix Trial SemiLight" w:hAnsi="TheMix Trial SemiLight"/>
          <w:color w:val="004852"/>
          <w:sz w:val="20"/>
        </w:rPr>
      </w:pPr>
    </w:p>
    <w:p w14:paraId="2F7A5F98" w14:textId="77777777" w:rsidR="00093308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 xml:space="preserve">The job applicant has the legal right to see a copy of the report before the employer and can ask the doctor to redact information that they consider to be damaging or irrelevant. </w:t>
      </w:r>
    </w:p>
    <w:p w14:paraId="04B221D0" w14:textId="77777777" w:rsidR="00093308" w:rsidRPr="001B3690" w:rsidRDefault="00093308" w:rsidP="00093308">
      <w:pPr>
        <w:spacing w:after="160" w:line="259" w:lineRule="auto"/>
        <w:rPr>
          <w:rFonts w:ascii="TheMix Trial SemiLight" w:hAnsi="TheMix Trial SemiLight"/>
          <w:color w:val="004852"/>
          <w:sz w:val="20"/>
        </w:rPr>
      </w:pPr>
      <w:r w:rsidRPr="001B3690">
        <w:rPr>
          <w:rFonts w:ascii="TheMix Trial SemiLight" w:hAnsi="TheMix Trial SemiLight"/>
          <w:color w:val="004852"/>
          <w:sz w:val="20"/>
        </w:rPr>
        <w:t>That same right does not extend to reports prepared by a company doctor or a doctor nominated and paid for by the employer.</w:t>
      </w:r>
    </w:p>
    <w:p w14:paraId="1F3C79AD" w14:textId="77777777" w:rsidR="00374FFD" w:rsidRPr="00454EAD" w:rsidRDefault="00374FFD" w:rsidP="00454EAD"/>
    <w:sectPr w:rsidR="00374FFD" w:rsidRPr="00454EAD" w:rsidSect="00161AC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CB46" w14:textId="77777777" w:rsidR="00093308" w:rsidRDefault="00093308" w:rsidP="00161ACA">
      <w:pPr>
        <w:spacing w:line="240" w:lineRule="auto"/>
      </w:pPr>
      <w:r>
        <w:separator/>
      </w:r>
    </w:p>
  </w:endnote>
  <w:endnote w:type="continuationSeparator" w:id="0">
    <w:p w14:paraId="6CBAC032" w14:textId="77777777" w:rsidR="00093308" w:rsidRDefault="00093308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 Trial SemiLight"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FC3B" w14:textId="77777777" w:rsidR="00093308" w:rsidRDefault="00093308" w:rsidP="00161ACA">
      <w:pPr>
        <w:spacing w:line="240" w:lineRule="auto"/>
      </w:pPr>
      <w:r>
        <w:separator/>
      </w:r>
    </w:p>
  </w:footnote>
  <w:footnote w:type="continuationSeparator" w:id="0">
    <w:p w14:paraId="30DCD86F" w14:textId="77777777" w:rsidR="00093308" w:rsidRDefault="00093308" w:rsidP="0016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7E3737B"/>
    <w:multiLevelType w:val="multilevel"/>
    <w:tmpl w:val="4E3E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4374C"/>
    <w:multiLevelType w:val="hybridMultilevel"/>
    <w:tmpl w:val="F6B4D85C"/>
    <w:lvl w:ilvl="0" w:tplc="7A06CBBA">
      <w:numFmt w:val="bullet"/>
      <w:lvlText w:val="-"/>
      <w:lvlJc w:val="left"/>
      <w:pPr>
        <w:ind w:left="720" w:hanging="360"/>
      </w:pPr>
      <w:rPr>
        <w:rFonts w:ascii="TheMix Trial SemiLight" w:eastAsiaTheme="minorHAnsi" w:hAnsi="TheMix Trial Semi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A1144"/>
    <w:multiLevelType w:val="multilevel"/>
    <w:tmpl w:val="C1CC2486"/>
    <w:numStyleLink w:val="Bullets"/>
  </w:abstractNum>
  <w:abstractNum w:abstractNumId="15" w15:restartNumberingAfterBreak="0">
    <w:nsid w:val="383F1058"/>
    <w:multiLevelType w:val="multilevel"/>
    <w:tmpl w:val="59627C7E"/>
    <w:numStyleLink w:val="PartiesNumbering"/>
  </w:abstractNum>
  <w:abstractNum w:abstractNumId="16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7" w15:restartNumberingAfterBreak="0">
    <w:nsid w:val="3B5576B9"/>
    <w:multiLevelType w:val="multilevel"/>
    <w:tmpl w:val="66402324"/>
    <w:numStyleLink w:val="Definitions"/>
  </w:abstractNum>
  <w:abstractNum w:abstractNumId="18" w15:restartNumberingAfterBreak="0">
    <w:nsid w:val="47460526"/>
    <w:multiLevelType w:val="multilevel"/>
    <w:tmpl w:val="950C5054"/>
    <w:numStyleLink w:val="ScheduleNumbering"/>
  </w:abstractNum>
  <w:abstractNum w:abstractNumId="19" w15:restartNumberingAfterBreak="0">
    <w:nsid w:val="4CA9239F"/>
    <w:multiLevelType w:val="multilevel"/>
    <w:tmpl w:val="FB4C5774"/>
    <w:numStyleLink w:val="Parties"/>
  </w:abstractNum>
  <w:abstractNum w:abstractNumId="20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1" w15:restartNumberingAfterBreak="0">
    <w:nsid w:val="59DC177A"/>
    <w:multiLevelType w:val="multilevel"/>
    <w:tmpl w:val="950C5054"/>
    <w:numStyleLink w:val="ScheduleNumbering"/>
  </w:abstractNum>
  <w:abstractNum w:abstractNumId="22" w15:restartNumberingAfterBreak="0">
    <w:nsid w:val="5C2F43FA"/>
    <w:multiLevelType w:val="multilevel"/>
    <w:tmpl w:val="950C5054"/>
    <w:numStyleLink w:val="ScheduleNumbering"/>
  </w:abstractNum>
  <w:abstractNum w:abstractNumId="23" w15:restartNumberingAfterBreak="0">
    <w:nsid w:val="5DA24D5E"/>
    <w:multiLevelType w:val="multilevel"/>
    <w:tmpl w:val="249AB59C"/>
    <w:numStyleLink w:val="MainNumbering"/>
  </w:abstractNum>
  <w:abstractNum w:abstractNumId="24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6" w15:restartNumberingAfterBreak="0">
    <w:nsid w:val="6C26492E"/>
    <w:multiLevelType w:val="multilevel"/>
    <w:tmpl w:val="249AB59C"/>
    <w:numStyleLink w:val="MainNumbering"/>
  </w:abstractNum>
  <w:abstractNum w:abstractNumId="27" w15:restartNumberingAfterBreak="0">
    <w:nsid w:val="6CA9556F"/>
    <w:multiLevelType w:val="multilevel"/>
    <w:tmpl w:val="249AB59C"/>
    <w:numStyleLink w:val="MainNumbering"/>
  </w:abstractNum>
  <w:num w:numId="1" w16cid:durableId="2023972023">
    <w:abstractNumId w:val="6"/>
  </w:num>
  <w:num w:numId="2" w16cid:durableId="1694764745">
    <w:abstractNumId w:val="11"/>
  </w:num>
  <w:num w:numId="3" w16cid:durableId="1380277443">
    <w:abstractNumId w:val="24"/>
  </w:num>
  <w:num w:numId="4" w16cid:durableId="545724425">
    <w:abstractNumId w:val="2"/>
  </w:num>
  <w:num w:numId="5" w16cid:durableId="573441662">
    <w:abstractNumId w:val="10"/>
  </w:num>
  <w:num w:numId="6" w16cid:durableId="1612469480">
    <w:abstractNumId w:val="8"/>
  </w:num>
  <w:num w:numId="7" w16cid:durableId="690837921">
    <w:abstractNumId w:val="19"/>
  </w:num>
  <w:num w:numId="8" w16cid:durableId="1225143240">
    <w:abstractNumId w:val="14"/>
  </w:num>
  <w:num w:numId="9" w16cid:durableId="1056200680">
    <w:abstractNumId w:val="17"/>
  </w:num>
  <w:num w:numId="10" w16cid:durableId="845092835">
    <w:abstractNumId w:val="5"/>
  </w:num>
  <w:num w:numId="11" w16cid:durableId="13537273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4876286">
    <w:abstractNumId w:val="7"/>
  </w:num>
  <w:num w:numId="13" w16cid:durableId="357200167">
    <w:abstractNumId w:val="16"/>
  </w:num>
  <w:num w:numId="14" w16cid:durableId="1112632039">
    <w:abstractNumId w:val="20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286930033">
    <w:abstractNumId w:val="23"/>
  </w:num>
  <w:num w:numId="16" w16cid:durableId="1673488796">
    <w:abstractNumId w:val="26"/>
  </w:num>
  <w:num w:numId="17" w16cid:durableId="1530677233">
    <w:abstractNumId w:val="1"/>
  </w:num>
  <w:num w:numId="18" w16cid:durableId="1738749916">
    <w:abstractNumId w:val="20"/>
  </w:num>
  <w:num w:numId="19" w16cid:durableId="37317991">
    <w:abstractNumId w:val="27"/>
  </w:num>
  <w:num w:numId="20" w16cid:durableId="1908033222">
    <w:abstractNumId w:val="18"/>
  </w:num>
  <w:num w:numId="21" w16cid:durableId="739519937">
    <w:abstractNumId w:val="21"/>
  </w:num>
  <w:num w:numId="22" w16cid:durableId="75055689">
    <w:abstractNumId w:val="3"/>
  </w:num>
  <w:num w:numId="23" w16cid:durableId="216669559">
    <w:abstractNumId w:val="22"/>
  </w:num>
  <w:num w:numId="24" w16cid:durableId="1363433141">
    <w:abstractNumId w:val="15"/>
  </w:num>
  <w:num w:numId="25" w16cid:durableId="256985454">
    <w:abstractNumId w:val="9"/>
  </w:num>
  <w:num w:numId="26" w16cid:durableId="1659310524">
    <w:abstractNumId w:val="0"/>
  </w:num>
  <w:num w:numId="27" w16cid:durableId="2073888579">
    <w:abstractNumId w:val="4"/>
  </w:num>
  <w:num w:numId="28" w16cid:durableId="146363648">
    <w:abstractNumId w:val="4"/>
  </w:num>
  <w:num w:numId="29" w16cid:durableId="276059682">
    <w:abstractNumId w:val="12"/>
  </w:num>
  <w:num w:numId="30" w16cid:durableId="7588725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93308"/>
    <w:rsid w:val="000630F4"/>
    <w:rsid w:val="00064EEE"/>
    <w:rsid w:val="00087D4D"/>
    <w:rsid w:val="00093308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472CF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2491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8B0C"/>
  <w15:chartTrackingRefBased/>
  <w15:docId w15:val="{7D4C5026-C844-473E-B24B-4BA106E9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093308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09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093308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09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093308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093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093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093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093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093308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093308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093308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093308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093308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093308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093308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093308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093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09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093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09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093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093308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093308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093308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93308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93308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093308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2836</Characters>
  <Application>Microsoft Office Word</Application>
  <DocSecurity>0</DocSecurity>
  <Lines>68</Lines>
  <Paragraphs>31</Paragraphs>
  <ScaleCrop>false</ScaleCrop>
  <Company>Weightmans LLP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1</cp:revision>
  <cp:lastPrinted>2013-07-08T10:59:00Z</cp:lastPrinted>
  <dcterms:created xsi:type="dcterms:W3CDTF">2025-11-26T12:02:00Z</dcterms:created>
  <dcterms:modified xsi:type="dcterms:W3CDTF">2025-11-26T12:03:00Z</dcterms:modified>
</cp:coreProperties>
</file>